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right"/>
        <w:rPr>
          <w:rFonts w:hint="eastAsia" w:ascii="Times New Roman" w:hAnsi="Times New Roman" w:eastAsia="宋体" w:cs="Times New Roman"/>
          <w:color w:val="auto"/>
          <w:sz w:val="28"/>
          <w:szCs w:val="28"/>
          <w:highlight w:val="none"/>
          <w:lang w:val="en-US" w:eastAsia="zh-CN"/>
        </w:rPr>
      </w:pPr>
      <w:r>
        <w:rPr>
          <w:rFonts w:hint="eastAsia" w:cs="Times New Roman"/>
          <w:color w:val="auto"/>
          <w:sz w:val="28"/>
          <w:szCs w:val="28"/>
          <w:highlight w:val="none"/>
          <w:lang w:val="en-US" w:eastAsia="zh-CN"/>
        </w:rPr>
        <w:t>YS-2018-49</w:t>
      </w:r>
    </w:p>
    <w:p>
      <w:pPr>
        <w:rPr>
          <w:rFonts w:hint="default" w:ascii="Times New Roman" w:hAnsi="Times New Roman" w:cs="Times New Roman"/>
          <w:color w:val="auto"/>
          <w:sz w:val="44"/>
          <w:szCs w:val="44"/>
          <w:highlight w:val="none"/>
        </w:rPr>
      </w:pPr>
    </w:p>
    <w:p>
      <w:pPr>
        <w:jc w:val="center"/>
        <w:rPr>
          <w:rFonts w:hint="default" w:ascii="Times New Roman" w:hAnsi="Times New Roman" w:cs="Times New Roman"/>
          <w:color w:val="auto"/>
          <w:sz w:val="44"/>
          <w:szCs w:val="44"/>
          <w:highlight w:val="none"/>
        </w:rPr>
      </w:pPr>
    </w:p>
    <w:p>
      <w:pPr>
        <w:jc w:val="center"/>
        <w:rPr>
          <w:rFonts w:hint="default" w:ascii="Times New Roman" w:hAnsi="Times New Roman" w:cs="Times New Roman"/>
          <w:color w:val="auto"/>
          <w:sz w:val="44"/>
          <w:szCs w:val="44"/>
          <w:highlight w:val="none"/>
        </w:rPr>
      </w:pPr>
    </w:p>
    <w:p>
      <w:pPr>
        <w:jc w:val="center"/>
        <w:rPr>
          <w:rFonts w:hint="eastAsia" w:cs="Times New Roman"/>
          <w:b/>
          <w:color w:val="auto"/>
          <w:sz w:val="44"/>
          <w:szCs w:val="44"/>
          <w:highlight w:val="none"/>
          <w:lang w:eastAsia="zh-CN"/>
        </w:rPr>
      </w:pPr>
      <w:r>
        <w:rPr>
          <w:rFonts w:hint="eastAsia" w:cs="Times New Roman"/>
          <w:b/>
          <w:color w:val="auto"/>
          <w:sz w:val="44"/>
          <w:szCs w:val="44"/>
          <w:highlight w:val="none"/>
          <w:lang w:eastAsia="zh-CN"/>
        </w:rPr>
        <w:t>二道河农场污水处理工程建设项目</w:t>
      </w:r>
    </w:p>
    <w:p>
      <w:pPr>
        <w:jc w:val="center"/>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t>竣工环境保护验收监测报告</w:t>
      </w:r>
    </w:p>
    <w:p>
      <w:pPr>
        <w:spacing w:before="156" w:beforeLines="50"/>
        <w:ind w:firstLine="2800" w:firstLineChars="1000"/>
        <w:rPr>
          <w:rFonts w:hint="default" w:ascii="Times New Roman" w:hAnsi="Times New Roman" w:cs="Times New Roman"/>
          <w:color w:val="auto"/>
          <w:sz w:val="28"/>
          <w:szCs w:val="20"/>
          <w:highlight w:val="none"/>
        </w:rPr>
      </w:pPr>
    </w:p>
    <w:p>
      <w:pPr>
        <w:spacing w:before="156" w:beforeLines="50"/>
        <w:ind w:firstLine="2800" w:firstLineChars="1000"/>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rPr>
          <w:rFonts w:hint="default" w:ascii="Times New Roman" w:hAnsi="Times New Roman" w:cs="Times New Roman"/>
          <w:color w:val="auto"/>
          <w:sz w:val="28"/>
          <w:szCs w:val="20"/>
          <w:highlight w:val="none"/>
        </w:rPr>
      </w:pPr>
    </w:p>
    <w:p>
      <w:pPr>
        <w:ind w:firstLine="1540" w:firstLineChars="550"/>
        <w:rPr>
          <w:rFonts w:hint="default" w:ascii="Times New Roman" w:hAnsi="Times New Roman" w:cs="Times New Roman"/>
          <w:color w:val="auto"/>
          <w:sz w:val="28"/>
          <w:szCs w:val="20"/>
          <w:highlight w:val="none"/>
        </w:rPr>
      </w:pPr>
    </w:p>
    <w:p>
      <w:pPr>
        <w:spacing w:line="360" w:lineRule="auto"/>
        <w:ind w:firstLine="320" w:firstLineChars="100"/>
        <w:rPr>
          <w:rFonts w:hint="eastAsia" w:ascii="Times New Roman" w:hAnsi="Times New Roman" w:eastAsia="宋体" w:cs="Times New Roman"/>
          <w:color w:val="auto"/>
          <w:sz w:val="32"/>
          <w:szCs w:val="32"/>
          <w:highlight w:val="none"/>
          <w:u w:val="single"/>
          <w:lang w:eastAsia="zh-CN"/>
        </w:rPr>
      </w:pPr>
      <w:r>
        <w:rPr>
          <w:rFonts w:hint="default" w:ascii="Times New Roman" w:hAnsi="Times New Roman" w:cs="Times New Roman"/>
          <w:color w:val="auto"/>
          <w:sz w:val="32"/>
          <w:szCs w:val="32"/>
          <w:highlight w:val="none"/>
        </w:rPr>
        <w:t>建设单位：</w:t>
      </w:r>
      <w:r>
        <w:rPr>
          <w:rFonts w:hint="eastAsia" w:cs="Times New Roman"/>
          <w:color w:val="auto"/>
          <w:sz w:val="32"/>
          <w:szCs w:val="32"/>
          <w:highlight w:val="none"/>
          <w:u w:val="single"/>
          <w:lang w:eastAsia="zh-CN"/>
        </w:rPr>
        <w:t>黑龙江省二道河农场</w:t>
      </w:r>
    </w:p>
    <w:p>
      <w:pPr>
        <w:spacing w:line="360" w:lineRule="auto"/>
        <w:ind w:firstLine="320" w:firstLineChars="100"/>
        <w:jc w:val="both"/>
        <w:rPr>
          <w:rFonts w:hint="default" w:ascii="Times New Roman" w:hAnsi="Times New Roman" w:cs="Times New Roman"/>
          <w:color w:val="auto"/>
          <w:sz w:val="32"/>
          <w:szCs w:val="32"/>
          <w:highlight w:val="none"/>
          <w:u w:val="single"/>
        </w:rPr>
      </w:pPr>
      <w:r>
        <w:rPr>
          <w:rFonts w:hint="default" w:ascii="Times New Roman" w:hAnsi="Times New Roman" w:cs="Times New Roman"/>
          <w:color w:val="auto"/>
          <w:sz w:val="32"/>
          <w:szCs w:val="32"/>
          <w:highlight w:val="none"/>
        </w:rPr>
        <w:t>承担单位：</w:t>
      </w:r>
      <w:r>
        <w:rPr>
          <w:rFonts w:hint="default" w:ascii="Times New Roman" w:hAnsi="Times New Roman" w:cs="Times New Roman"/>
          <w:color w:val="auto"/>
          <w:sz w:val="32"/>
          <w:szCs w:val="32"/>
          <w:highlight w:val="none"/>
          <w:u w:val="single"/>
        </w:rPr>
        <w:t>黑龙江省瑞科检测技术有限公司</w:t>
      </w:r>
    </w:p>
    <w:p>
      <w:pPr>
        <w:rPr>
          <w:rFonts w:hint="default" w:ascii="Times New Roman" w:hAnsi="Times New Roman" w:cs="Times New Roman"/>
          <w:color w:val="auto"/>
          <w:sz w:val="32"/>
          <w:szCs w:val="32"/>
          <w:highlight w:val="none"/>
        </w:rPr>
      </w:pPr>
    </w:p>
    <w:p>
      <w:pPr>
        <w:jc w:val="center"/>
        <w:rPr>
          <w:rFonts w:hint="default" w:ascii="Times New Roman" w:hAnsi="Times New Roman" w:eastAsia="宋体" w:cs="Times New Roman"/>
          <w:color w:val="auto"/>
          <w:sz w:val="32"/>
          <w:szCs w:val="32"/>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default" w:ascii="Times New Roman" w:hAnsi="Times New Roman" w:cs="Times New Roman"/>
          <w:color w:val="auto"/>
          <w:sz w:val="32"/>
          <w:szCs w:val="32"/>
          <w:highlight w:val="none"/>
        </w:rPr>
        <w:t>2018年</w:t>
      </w:r>
      <w:r>
        <w:rPr>
          <w:rFonts w:hint="eastAsia" w:cs="Times New Roman"/>
          <w:color w:val="auto"/>
          <w:sz w:val="32"/>
          <w:szCs w:val="32"/>
          <w:highlight w:val="none"/>
          <w:lang w:val="en-US" w:eastAsia="zh-CN"/>
        </w:rPr>
        <w:t>12</w:t>
      </w:r>
      <w:r>
        <w:rPr>
          <w:rFonts w:hint="default" w:ascii="Times New Roman" w:hAnsi="Times New Roman" w:cs="Times New Roman"/>
          <w:color w:val="auto"/>
          <w:sz w:val="32"/>
          <w:szCs w:val="32"/>
          <w:highlight w:val="none"/>
          <w:lang w:eastAsia="zh-CN"/>
        </w:rPr>
        <w:t>月</w:t>
      </w:r>
    </w:p>
    <w:p>
      <w:pPr>
        <w:widowControl/>
        <w:spacing w:line="480" w:lineRule="auto"/>
        <w:jc w:val="left"/>
        <w:rPr>
          <w:rFonts w:hint="default" w:ascii="Times New Roman" w:hAnsi="Times New Roman" w:cs="Times New Roman"/>
          <w:b/>
          <w:bCs/>
          <w:color w:val="auto"/>
          <w:sz w:val="24"/>
          <w:szCs w:val="24"/>
          <w:highlight w:val="none"/>
        </w:rPr>
      </w:pPr>
    </w:p>
    <w:p>
      <w:pPr>
        <w:widowControl/>
        <w:spacing w:line="480" w:lineRule="auto"/>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建设单位法人代表：</w:t>
      </w:r>
      <w:r>
        <w:rPr>
          <w:rFonts w:hint="eastAsia" w:cs="Times New Roman"/>
          <w:b/>
          <w:bCs/>
          <w:color w:val="auto"/>
          <w:sz w:val="24"/>
          <w:szCs w:val="24"/>
          <w:highlight w:val="none"/>
          <w:lang w:eastAsia="zh-CN"/>
        </w:rPr>
        <w:t>徐祥龙</w:t>
      </w:r>
      <w:r>
        <w:rPr>
          <w:rFonts w:hint="default" w:ascii="Times New Roman" w:hAnsi="Times New Roman" w:cs="Times New Roman"/>
          <w:b/>
          <w:bCs/>
          <w:color w:val="auto"/>
          <w:sz w:val="24"/>
          <w:szCs w:val="24"/>
          <w:highlight w:val="none"/>
        </w:rPr>
        <w:t xml:space="preserve">                 （签字）</w:t>
      </w:r>
    </w:p>
    <w:p>
      <w:pPr>
        <w:spacing w:line="48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编制单位法人代表：张楠楠                 （签字）</w:t>
      </w:r>
    </w:p>
    <w:p>
      <w:pPr>
        <w:spacing w:line="48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项 目 负 责 人：</w:t>
      </w:r>
      <w:r>
        <w:rPr>
          <w:rFonts w:hint="eastAsia" w:cs="Times New Roman"/>
          <w:b/>
          <w:bCs/>
          <w:color w:val="auto"/>
          <w:sz w:val="24"/>
          <w:szCs w:val="24"/>
          <w:highlight w:val="none"/>
          <w:lang w:eastAsia="zh-CN"/>
        </w:rPr>
        <w:t>张宇鹏</w:t>
      </w:r>
    </w:p>
    <w:p>
      <w:pPr>
        <w:spacing w:line="480" w:lineRule="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填  表  人：</w:t>
      </w:r>
      <w:r>
        <w:rPr>
          <w:rFonts w:hint="eastAsia" w:cs="Times New Roman"/>
          <w:b/>
          <w:bCs/>
          <w:color w:val="auto"/>
          <w:sz w:val="24"/>
          <w:szCs w:val="24"/>
          <w:highlight w:val="none"/>
          <w:lang w:eastAsia="zh-CN"/>
        </w:rPr>
        <w:t>张宇鹏</w:t>
      </w: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p>
      <w:pPr>
        <w:rPr>
          <w:rFonts w:hint="default" w:ascii="Times New Roman" w:hAnsi="Times New Roman" w:cs="Times New Roman"/>
          <w:b/>
          <w:bCs/>
          <w:color w:val="auto"/>
          <w:sz w:val="28"/>
          <w:szCs w:val="20"/>
          <w:highlight w:val="none"/>
        </w:rPr>
      </w:pPr>
    </w:p>
    <w:tbl>
      <w:tblPr>
        <w:tblStyle w:val="12"/>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vAlign w:val="top"/>
          </w:tcPr>
          <w:p>
            <w:pPr>
              <w:spacing w:line="240" w:lineRule="auto"/>
              <w:jc w:val="both"/>
              <w:rPr>
                <w:rFonts w:hint="eastAsia" w:ascii="Times New Roman" w:hAnsi="Times New Roman" w:eastAsia="宋体" w:cs="Times New Roman"/>
                <w:b/>
                <w:bCs/>
                <w:color w:val="auto"/>
                <w:sz w:val="28"/>
                <w:szCs w:val="20"/>
                <w:highlight w:val="none"/>
                <w:lang w:eastAsia="zh-CN"/>
              </w:rPr>
            </w:pPr>
            <w:r>
              <w:rPr>
                <w:rFonts w:hint="default" w:ascii="Times New Roman" w:hAnsi="Times New Roman" w:cs="Times New Roman"/>
                <w:b/>
                <w:bCs/>
                <w:color w:val="auto"/>
                <w:sz w:val="18"/>
                <w:szCs w:val="18"/>
                <w:highlight w:val="none"/>
              </w:rPr>
              <w:t>建设单位：</w:t>
            </w:r>
            <w:r>
              <w:rPr>
                <w:rFonts w:hint="eastAsia" w:cs="Times New Roman"/>
                <w:b/>
                <w:bCs/>
                <w:color w:val="auto"/>
                <w:sz w:val="18"/>
                <w:szCs w:val="18"/>
                <w:highlight w:val="none"/>
                <w:lang w:eastAsia="zh-CN"/>
              </w:rPr>
              <w:t>黑龙江省二道河农场</w:t>
            </w:r>
          </w:p>
        </w:tc>
        <w:tc>
          <w:tcPr>
            <w:tcW w:w="4261" w:type="dxa"/>
            <w:vAlign w:val="top"/>
          </w:tcPr>
          <w:p>
            <w:pPr>
              <w:spacing w:line="240" w:lineRule="auto"/>
              <w:jc w:val="both"/>
              <w:rPr>
                <w:rFonts w:hint="default" w:ascii="Times New Roman" w:hAnsi="Times New Roman" w:cs="Times New Roman"/>
                <w:b/>
                <w:bCs/>
                <w:color w:val="auto"/>
                <w:sz w:val="28"/>
                <w:szCs w:val="20"/>
                <w:highlight w:val="none"/>
              </w:rPr>
            </w:pPr>
            <w:r>
              <w:rPr>
                <w:rFonts w:hint="default" w:ascii="Times New Roman" w:hAnsi="Times New Roman" w:cs="Times New Roman"/>
                <w:b/>
                <w:bCs/>
                <w:color w:val="auto"/>
                <w:sz w:val="18"/>
                <w:szCs w:val="18"/>
                <w:highlight w:val="none"/>
              </w:rPr>
              <w:t>编制单位：黑龙江省瑞科检测技术有限公司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49" w:hRule="atLeast"/>
        </w:trPr>
        <w:tc>
          <w:tcPr>
            <w:tcW w:w="4261" w:type="dxa"/>
            <w:vAlign w:val="top"/>
          </w:tcPr>
          <w:p>
            <w:pPr>
              <w:spacing w:line="240" w:lineRule="auto"/>
              <w:jc w:val="both"/>
              <w:rPr>
                <w:rFonts w:hint="eastAsia" w:ascii="Times New Roman" w:hAnsi="Times New Roman" w:eastAsia="宋体" w:cs="Times New Roman"/>
                <w:b/>
                <w:bCs/>
                <w:color w:val="auto"/>
                <w:sz w:val="28"/>
                <w:szCs w:val="20"/>
                <w:highlight w:val="none"/>
                <w:lang w:val="en-US" w:eastAsia="zh-CN"/>
              </w:rPr>
            </w:pPr>
            <w:r>
              <w:rPr>
                <w:rFonts w:hint="default" w:ascii="Times New Roman" w:hAnsi="Times New Roman" w:cs="Times New Roman"/>
                <w:b/>
                <w:bCs/>
                <w:color w:val="auto"/>
                <w:sz w:val="18"/>
                <w:szCs w:val="18"/>
                <w:highlight w:val="none"/>
              </w:rPr>
              <w:t>电话：</w:t>
            </w:r>
            <w:r>
              <w:rPr>
                <w:rFonts w:hint="eastAsia" w:cs="Times New Roman"/>
                <w:b/>
                <w:bCs/>
                <w:color w:val="auto"/>
                <w:sz w:val="18"/>
                <w:szCs w:val="18"/>
                <w:highlight w:val="none"/>
                <w:lang w:val="en-US" w:eastAsia="zh-CN"/>
              </w:rPr>
              <w:t>13504695469</w:t>
            </w:r>
          </w:p>
        </w:tc>
        <w:tc>
          <w:tcPr>
            <w:tcW w:w="4261" w:type="dxa"/>
            <w:vAlign w:val="top"/>
          </w:tcPr>
          <w:p>
            <w:pPr>
              <w:spacing w:line="240" w:lineRule="auto"/>
              <w:jc w:val="both"/>
              <w:rPr>
                <w:rFonts w:hint="default" w:ascii="Times New Roman" w:hAnsi="Times New Roman" w:eastAsia="宋体" w:cs="Times New Roman"/>
                <w:b/>
                <w:bCs/>
                <w:color w:val="auto"/>
                <w:sz w:val="28"/>
                <w:szCs w:val="20"/>
                <w:highlight w:val="none"/>
                <w:lang w:val="en-US" w:eastAsia="zh-CN"/>
              </w:rPr>
            </w:pPr>
            <w:r>
              <w:rPr>
                <w:rFonts w:hint="default" w:ascii="Times New Roman" w:hAnsi="Times New Roman" w:cs="Times New Roman"/>
                <w:b/>
                <w:bCs/>
                <w:color w:val="auto"/>
                <w:sz w:val="18"/>
                <w:szCs w:val="18"/>
                <w:highlight w:val="none"/>
              </w:rPr>
              <w:t>电话：</w:t>
            </w:r>
            <w:r>
              <w:rPr>
                <w:rFonts w:hint="default" w:ascii="Times New Roman" w:hAnsi="Times New Roman" w:cs="Times New Roman"/>
                <w:b/>
                <w:bCs/>
                <w:color w:val="auto"/>
                <w:sz w:val="18"/>
                <w:szCs w:val="18"/>
                <w:highlight w:val="none"/>
                <w:lang w:val="en-US" w:eastAsia="zh-CN"/>
              </w:rPr>
              <w:t>87353097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vAlign w:val="top"/>
          </w:tcPr>
          <w:p>
            <w:pPr>
              <w:spacing w:line="240" w:lineRule="auto"/>
              <w:jc w:val="both"/>
              <w:rPr>
                <w:rFonts w:hint="default" w:ascii="Times New Roman" w:hAnsi="Times New Roman" w:cs="Times New Roman"/>
                <w:b/>
                <w:bCs/>
                <w:color w:val="auto"/>
                <w:sz w:val="28"/>
                <w:szCs w:val="20"/>
                <w:highlight w:val="none"/>
              </w:rPr>
            </w:pPr>
            <w:r>
              <w:rPr>
                <w:rFonts w:hint="default" w:ascii="Times New Roman" w:hAnsi="Times New Roman" w:cs="Times New Roman"/>
                <w:b/>
                <w:bCs/>
                <w:color w:val="auto"/>
                <w:sz w:val="18"/>
                <w:szCs w:val="18"/>
                <w:highlight w:val="none"/>
              </w:rPr>
              <w:t>传真：</w:t>
            </w:r>
          </w:p>
        </w:tc>
        <w:tc>
          <w:tcPr>
            <w:tcW w:w="4261" w:type="dxa"/>
            <w:vAlign w:val="top"/>
          </w:tcPr>
          <w:p>
            <w:pPr>
              <w:spacing w:line="240" w:lineRule="auto"/>
              <w:jc w:val="both"/>
              <w:rPr>
                <w:rFonts w:hint="default" w:ascii="Times New Roman" w:hAnsi="Times New Roman" w:cs="Times New Roman"/>
                <w:b/>
                <w:bCs/>
                <w:color w:val="auto"/>
                <w:sz w:val="28"/>
                <w:szCs w:val="20"/>
                <w:highlight w:val="none"/>
              </w:rPr>
            </w:pPr>
            <w:r>
              <w:rPr>
                <w:rFonts w:hint="default" w:ascii="Times New Roman" w:hAnsi="Times New Roman" w:cs="Times New Roman"/>
                <w:b/>
                <w:bCs/>
                <w:color w:val="auto"/>
                <w:sz w:val="18"/>
                <w:szCs w:val="18"/>
                <w:highlight w:val="none"/>
              </w:rPr>
              <w:t>传真：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vAlign w:val="top"/>
          </w:tcPr>
          <w:p>
            <w:pPr>
              <w:spacing w:line="240" w:lineRule="auto"/>
              <w:jc w:val="both"/>
              <w:rPr>
                <w:rFonts w:hint="eastAsia" w:ascii="Times New Roman" w:hAnsi="Times New Roman" w:eastAsia="宋体" w:cs="Times New Roman"/>
                <w:b/>
                <w:bCs/>
                <w:color w:val="auto"/>
                <w:sz w:val="28"/>
                <w:szCs w:val="20"/>
                <w:highlight w:val="none"/>
                <w:lang w:val="en-US" w:eastAsia="zh-CN"/>
              </w:rPr>
            </w:pPr>
            <w:r>
              <w:rPr>
                <w:rFonts w:hint="default" w:ascii="Times New Roman" w:hAnsi="Times New Roman" w:cs="Times New Roman"/>
                <w:b/>
                <w:bCs/>
                <w:color w:val="auto"/>
                <w:sz w:val="18"/>
                <w:szCs w:val="18"/>
                <w:highlight w:val="none"/>
              </w:rPr>
              <w:t>邮编：</w:t>
            </w:r>
            <w:r>
              <w:rPr>
                <w:rFonts w:hint="eastAsia" w:cs="Times New Roman"/>
                <w:b/>
                <w:bCs/>
                <w:color w:val="auto"/>
                <w:sz w:val="18"/>
                <w:szCs w:val="18"/>
                <w:highlight w:val="none"/>
                <w:lang w:val="en-US" w:eastAsia="zh-CN"/>
              </w:rPr>
              <w:t>156330</w:t>
            </w:r>
          </w:p>
        </w:tc>
        <w:tc>
          <w:tcPr>
            <w:tcW w:w="4261" w:type="dxa"/>
            <w:vAlign w:val="top"/>
          </w:tcPr>
          <w:p>
            <w:pPr>
              <w:spacing w:line="240" w:lineRule="auto"/>
              <w:jc w:val="both"/>
              <w:rPr>
                <w:rFonts w:hint="default" w:ascii="Times New Roman" w:hAnsi="Times New Roman" w:cs="Times New Roman"/>
                <w:b/>
                <w:bCs/>
                <w:color w:val="auto"/>
                <w:sz w:val="28"/>
                <w:szCs w:val="20"/>
                <w:highlight w:val="none"/>
              </w:rPr>
            </w:pPr>
            <w:r>
              <w:rPr>
                <w:rFonts w:hint="default" w:ascii="Times New Roman" w:hAnsi="Times New Roman" w:cs="Times New Roman"/>
                <w:b/>
                <w:bCs/>
                <w:color w:val="auto"/>
                <w:sz w:val="18"/>
                <w:szCs w:val="18"/>
                <w:highlight w:val="none"/>
              </w:rPr>
              <w:t>邮编：150001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vAlign w:val="top"/>
          </w:tcPr>
          <w:p>
            <w:pPr>
              <w:spacing w:line="240" w:lineRule="auto"/>
              <w:jc w:val="both"/>
              <w:rPr>
                <w:rFonts w:hint="eastAsia" w:ascii="Times New Roman" w:hAnsi="Times New Roman" w:eastAsia="宋体" w:cs="Times New Roman"/>
                <w:b/>
                <w:bCs/>
                <w:color w:val="auto"/>
                <w:sz w:val="28"/>
                <w:szCs w:val="20"/>
                <w:highlight w:val="none"/>
                <w:lang w:eastAsia="zh-CN"/>
              </w:rPr>
            </w:pPr>
            <w:r>
              <w:rPr>
                <w:rFonts w:hint="default" w:ascii="Times New Roman" w:hAnsi="Times New Roman" w:cs="Times New Roman"/>
                <w:b/>
                <w:bCs/>
                <w:color w:val="auto"/>
                <w:sz w:val="18"/>
                <w:szCs w:val="18"/>
                <w:highlight w:val="none"/>
              </w:rPr>
              <w:t xml:space="preserve">地址: </w:t>
            </w:r>
            <w:r>
              <w:rPr>
                <w:rFonts w:hint="eastAsia" w:ascii="Times New Roman" w:hAnsi="Times New Roman" w:cs="Times New Roman"/>
                <w:b/>
                <w:bCs/>
                <w:color w:val="auto"/>
                <w:sz w:val="18"/>
                <w:szCs w:val="18"/>
                <w:highlight w:val="none"/>
                <w:lang w:eastAsia="zh-CN"/>
              </w:rPr>
              <w:t>黑龙江省二道河农场</w:t>
            </w:r>
          </w:p>
        </w:tc>
        <w:tc>
          <w:tcPr>
            <w:tcW w:w="4261" w:type="dxa"/>
            <w:vAlign w:val="top"/>
          </w:tcPr>
          <w:p>
            <w:pPr>
              <w:spacing w:line="240" w:lineRule="auto"/>
              <w:jc w:val="both"/>
              <w:rPr>
                <w:rFonts w:hint="default" w:ascii="Times New Roman" w:hAnsi="Times New Roman" w:cs="Times New Roman"/>
                <w:b/>
                <w:bCs/>
                <w:color w:val="auto"/>
                <w:sz w:val="28"/>
                <w:szCs w:val="20"/>
                <w:highlight w:val="none"/>
              </w:rPr>
            </w:pPr>
            <w:r>
              <w:rPr>
                <w:rFonts w:hint="default" w:ascii="Times New Roman" w:hAnsi="Times New Roman" w:cs="Times New Roman"/>
                <w:b/>
                <w:bCs/>
                <w:color w:val="auto"/>
                <w:sz w:val="18"/>
                <w:szCs w:val="18"/>
                <w:highlight w:val="none"/>
              </w:rPr>
              <w:t>地址：哈尔滨市利民开发区黑大路16号宏晟时代广场TC20</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color w:val="auto"/>
          <w:sz w:val="36"/>
          <w:szCs w:val="36"/>
          <w:highlight w:val="none"/>
        </w:rPr>
      </w:pPr>
      <w:bookmarkStart w:id="0" w:name="_Toc27571_WPSOffice_Type1"/>
      <w:r>
        <w:rPr>
          <w:rFonts w:hint="default" w:ascii="Times New Roman" w:hAnsi="Times New Roman" w:eastAsia="宋体" w:cs="Times New Roman"/>
          <w:color w:val="auto"/>
          <w:sz w:val="36"/>
          <w:szCs w:val="36"/>
          <w:highlight w:val="none"/>
        </w:rPr>
        <w:t>目录</w:t>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_Toc24496_WPSOffice_Level1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表一 建设项目概况</w:t>
      </w:r>
      <w:r>
        <w:rPr>
          <w:rFonts w:hint="default" w:ascii="Times New Roman" w:hAnsi="Times New Roman" w:eastAsia="宋体" w:cs="Times New Roman"/>
          <w:color w:val="auto"/>
          <w:sz w:val="24"/>
          <w:szCs w:val="24"/>
          <w:highlight w:val="none"/>
        </w:rPr>
        <w:tab/>
      </w:r>
      <w:bookmarkStart w:id="1" w:name="_Toc24496_WPSOffice_Level1Page"/>
      <w:r>
        <w:rPr>
          <w:rFonts w:hint="default" w:ascii="Times New Roman" w:hAnsi="Times New Roman" w:eastAsia="宋体" w:cs="Times New Roman"/>
          <w:color w:val="auto"/>
          <w:sz w:val="24"/>
          <w:szCs w:val="24"/>
          <w:highlight w:val="none"/>
        </w:rPr>
        <w:t>1</w:t>
      </w:r>
      <w:bookmarkEnd w:id="1"/>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_Toc4949_WPSOffice_Level1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表二 工程与环保建设情况一览表</w:t>
      </w:r>
      <w:r>
        <w:rPr>
          <w:rFonts w:hint="default" w:ascii="Times New Roman" w:hAnsi="Times New Roman" w:eastAsia="宋体" w:cs="Times New Roman"/>
          <w:color w:val="auto"/>
          <w:sz w:val="24"/>
          <w:szCs w:val="24"/>
          <w:highlight w:val="none"/>
        </w:rPr>
        <w:tab/>
      </w:r>
      <w:bookmarkStart w:id="2" w:name="_Toc4949_WPSOffice_Level1Page"/>
      <w:r>
        <w:rPr>
          <w:rFonts w:hint="default" w:ascii="Times New Roman" w:hAnsi="Times New Roman" w:eastAsia="宋体" w:cs="Times New Roman"/>
          <w:color w:val="auto"/>
          <w:sz w:val="24"/>
          <w:szCs w:val="24"/>
          <w:highlight w:val="none"/>
        </w:rPr>
        <w:t>5</w:t>
      </w:r>
      <w:bookmarkEnd w:id="2"/>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_Toc16965_WPSOffice_Level1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表三 主要污染源、污染物处理和排放</w:t>
      </w:r>
      <w:r>
        <w:rPr>
          <w:rFonts w:hint="default" w:ascii="Times New Roman" w:hAnsi="Times New Roman" w:eastAsia="宋体" w:cs="Times New Roman"/>
          <w:color w:val="auto"/>
          <w:sz w:val="24"/>
          <w:szCs w:val="24"/>
          <w:highlight w:val="none"/>
        </w:rPr>
        <w:tab/>
      </w:r>
      <w:bookmarkStart w:id="3" w:name="_Toc16965_WPSOffice_Level1Page"/>
      <w:r>
        <w:rPr>
          <w:rFonts w:hint="default" w:ascii="Times New Roman" w:hAnsi="Times New Roman" w:eastAsia="宋体" w:cs="Times New Roman"/>
          <w:color w:val="auto"/>
          <w:sz w:val="24"/>
          <w:szCs w:val="24"/>
          <w:highlight w:val="none"/>
        </w:rPr>
        <w:t>9</w:t>
      </w:r>
      <w:bookmarkEnd w:id="3"/>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_Toc16434_WPSOffice_Level1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表四 建设项目环境影响报告表主要结论及审批部门审批决定</w:t>
      </w:r>
      <w:r>
        <w:rPr>
          <w:rFonts w:hint="default" w:ascii="Times New Roman" w:hAnsi="Times New Roman" w:eastAsia="宋体" w:cs="Times New Roman"/>
          <w:color w:val="auto"/>
          <w:sz w:val="24"/>
          <w:szCs w:val="24"/>
          <w:highlight w:val="none"/>
        </w:rPr>
        <w:tab/>
      </w:r>
      <w:bookmarkStart w:id="4" w:name="_Toc16434_WPSOffice_Level1Page"/>
      <w:r>
        <w:rPr>
          <w:rFonts w:hint="default" w:ascii="Times New Roman" w:hAnsi="Times New Roman" w:eastAsia="宋体" w:cs="Times New Roman"/>
          <w:color w:val="auto"/>
          <w:sz w:val="24"/>
          <w:szCs w:val="24"/>
          <w:highlight w:val="none"/>
        </w:rPr>
        <w:t>13</w:t>
      </w:r>
      <w:bookmarkEnd w:id="4"/>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_Toc8055_WPSOffice_Level1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表五 验收监测质量控制和质量保证</w:t>
      </w:r>
      <w:r>
        <w:rPr>
          <w:rFonts w:hint="default" w:ascii="Times New Roman" w:hAnsi="Times New Roman" w:eastAsia="宋体" w:cs="Times New Roman"/>
          <w:color w:val="auto"/>
          <w:sz w:val="24"/>
          <w:szCs w:val="24"/>
          <w:highlight w:val="none"/>
        </w:rPr>
        <w:tab/>
      </w:r>
      <w:bookmarkStart w:id="5" w:name="_Toc8055_WPSOffice_Level1Page"/>
      <w:r>
        <w:rPr>
          <w:rFonts w:hint="default" w:ascii="Times New Roman" w:hAnsi="Times New Roman" w:eastAsia="宋体" w:cs="Times New Roman"/>
          <w:color w:val="auto"/>
          <w:sz w:val="24"/>
          <w:szCs w:val="24"/>
          <w:highlight w:val="none"/>
        </w:rPr>
        <w:t>18</w:t>
      </w:r>
      <w:bookmarkEnd w:id="5"/>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_Toc18550_WPSOffice_Level1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表六 验收监测内容</w:t>
      </w:r>
      <w:r>
        <w:rPr>
          <w:rFonts w:hint="default" w:ascii="Times New Roman" w:hAnsi="Times New Roman" w:eastAsia="宋体" w:cs="Times New Roman"/>
          <w:color w:val="auto"/>
          <w:sz w:val="24"/>
          <w:szCs w:val="24"/>
          <w:highlight w:val="none"/>
        </w:rPr>
        <w:tab/>
      </w:r>
      <w:bookmarkStart w:id="6" w:name="_Toc18550_WPSOffice_Level1Page"/>
      <w:r>
        <w:rPr>
          <w:rFonts w:hint="default" w:ascii="Times New Roman" w:hAnsi="Times New Roman" w:eastAsia="宋体" w:cs="Times New Roman"/>
          <w:color w:val="auto"/>
          <w:sz w:val="24"/>
          <w:szCs w:val="24"/>
          <w:highlight w:val="none"/>
        </w:rPr>
        <w:t>21</w:t>
      </w:r>
      <w:bookmarkEnd w:id="6"/>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_Toc17220_WPSOffice_Level1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表七 监测结果及评价</w:t>
      </w:r>
      <w:r>
        <w:rPr>
          <w:rFonts w:hint="default" w:ascii="Times New Roman" w:hAnsi="Times New Roman" w:eastAsia="宋体" w:cs="Times New Roman"/>
          <w:color w:val="auto"/>
          <w:sz w:val="24"/>
          <w:szCs w:val="24"/>
          <w:highlight w:val="none"/>
        </w:rPr>
        <w:tab/>
      </w:r>
      <w:bookmarkStart w:id="7" w:name="_Toc17220_WPSOffice_Level1Page"/>
      <w:r>
        <w:rPr>
          <w:rFonts w:hint="default" w:ascii="Times New Roman" w:hAnsi="Times New Roman" w:eastAsia="宋体" w:cs="Times New Roman"/>
          <w:color w:val="auto"/>
          <w:sz w:val="24"/>
          <w:szCs w:val="24"/>
          <w:highlight w:val="none"/>
        </w:rPr>
        <w:t>22</w:t>
      </w:r>
      <w:bookmarkEnd w:id="7"/>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_Toc21227_WPSOffice_Level1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表八 环境管理检测结果</w:t>
      </w:r>
      <w:r>
        <w:rPr>
          <w:rFonts w:hint="default" w:ascii="Times New Roman" w:hAnsi="Times New Roman" w:eastAsia="宋体" w:cs="Times New Roman"/>
          <w:color w:val="auto"/>
          <w:sz w:val="24"/>
          <w:szCs w:val="24"/>
          <w:highlight w:val="none"/>
        </w:rPr>
        <w:tab/>
      </w:r>
      <w:bookmarkStart w:id="8" w:name="_Toc21227_WPSOffice_Level1Page"/>
      <w:r>
        <w:rPr>
          <w:rFonts w:hint="default" w:ascii="Times New Roman" w:hAnsi="Times New Roman" w:eastAsia="宋体" w:cs="Times New Roman"/>
          <w:color w:val="auto"/>
          <w:sz w:val="24"/>
          <w:szCs w:val="24"/>
          <w:highlight w:val="none"/>
        </w:rPr>
        <w:t>29</w:t>
      </w:r>
      <w:bookmarkEnd w:id="8"/>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_Toc16237_WPSOffice_Level1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表九 验收监测结论及建议</w:t>
      </w:r>
      <w:r>
        <w:rPr>
          <w:rFonts w:hint="default" w:ascii="Times New Roman" w:hAnsi="Times New Roman" w:eastAsia="宋体" w:cs="Times New Roman"/>
          <w:color w:val="auto"/>
          <w:sz w:val="24"/>
          <w:szCs w:val="24"/>
          <w:highlight w:val="none"/>
        </w:rPr>
        <w:tab/>
      </w:r>
      <w:bookmarkStart w:id="9" w:name="_Toc16237_WPSOffice_Level1Page"/>
      <w:r>
        <w:rPr>
          <w:rFonts w:hint="default" w:ascii="Times New Roman" w:hAnsi="Times New Roman" w:eastAsia="宋体" w:cs="Times New Roman"/>
          <w:color w:val="auto"/>
          <w:sz w:val="24"/>
          <w:szCs w:val="24"/>
          <w:highlight w:val="none"/>
        </w:rPr>
        <w:t>30</w:t>
      </w:r>
      <w:bookmarkEnd w:id="9"/>
      <w:r>
        <w:rPr>
          <w:rFonts w:hint="default" w:ascii="Times New Roman" w:hAnsi="Times New Roman" w:eastAsia="宋体" w:cs="Times New Roman"/>
          <w:color w:val="auto"/>
          <w:sz w:val="24"/>
          <w:szCs w:val="24"/>
          <w:highlight w:val="none"/>
        </w:rPr>
        <w:fldChar w:fldCharType="end"/>
      </w:r>
    </w:p>
    <w:p>
      <w:pPr>
        <w:pStyle w:val="20"/>
        <w:tabs>
          <w:tab w:val="right" w:leader="dot" w:pos="8306"/>
        </w:tabs>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_Toc5237_WPSOffice_Level1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建设项目竣工环境保护“三同时”验收登记表</w:t>
      </w:r>
      <w:r>
        <w:rPr>
          <w:rFonts w:hint="default" w:ascii="Times New Roman" w:hAnsi="Times New Roman" w:eastAsia="宋体" w:cs="Times New Roman"/>
          <w:color w:val="auto"/>
          <w:sz w:val="24"/>
          <w:szCs w:val="24"/>
          <w:highlight w:val="none"/>
        </w:rPr>
        <w:tab/>
      </w:r>
      <w:bookmarkStart w:id="10" w:name="_Toc5237_WPSOffice_Level1Page"/>
      <w:r>
        <w:rPr>
          <w:rFonts w:hint="default" w:ascii="Times New Roman" w:hAnsi="Times New Roman" w:eastAsia="宋体" w:cs="Times New Roman"/>
          <w:color w:val="auto"/>
          <w:sz w:val="24"/>
          <w:szCs w:val="24"/>
          <w:highlight w:val="none"/>
        </w:rPr>
        <w:t>32</w:t>
      </w:r>
      <w:bookmarkEnd w:id="10"/>
      <w:r>
        <w:rPr>
          <w:rFonts w:hint="default" w:ascii="Times New Roman" w:hAnsi="Times New Roman" w:eastAsia="宋体" w:cs="Times New Roman"/>
          <w:color w:val="auto"/>
          <w:sz w:val="24"/>
          <w:szCs w:val="24"/>
          <w:highlight w:val="none"/>
        </w:rPr>
        <w:fldChar w:fldCharType="end"/>
      </w:r>
    </w:p>
    <w:bookmarkEnd w:id="0"/>
    <w:p>
      <w:pPr>
        <w:spacing w:line="360" w:lineRule="auto"/>
        <w:outlineLvl w:val="0"/>
        <w:rPr>
          <w:rFonts w:hint="default" w:ascii="Times New Roman" w:hAnsi="Times New Roman" w:eastAsia="宋体" w:cs="Times New Roman"/>
          <w:b/>
          <w:color w:val="auto"/>
          <w:kern w:val="0"/>
          <w:sz w:val="24"/>
          <w:szCs w:val="24"/>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11" w:name="_Toc1214_WPSOffice_Level1"/>
    </w:p>
    <w:p>
      <w:pPr>
        <w:outlineLvl w:val="0"/>
        <w:rPr>
          <w:rFonts w:hint="default" w:ascii="Times New Roman" w:hAnsi="Times New Roman" w:cs="Times New Roman"/>
          <w:b/>
          <w:color w:val="auto"/>
          <w:kern w:val="0"/>
          <w:sz w:val="30"/>
          <w:szCs w:val="22"/>
          <w:highlight w:val="none"/>
        </w:rPr>
      </w:pPr>
      <w:bookmarkStart w:id="12" w:name="_Toc24496_WPSOffice_Level1"/>
      <w:r>
        <w:rPr>
          <w:rFonts w:hint="default" w:ascii="Times New Roman" w:hAnsi="Times New Roman" w:cs="Times New Roman"/>
          <w:b/>
          <w:color w:val="auto"/>
          <w:kern w:val="0"/>
          <w:sz w:val="30"/>
          <w:szCs w:val="22"/>
          <w:highlight w:val="none"/>
        </w:rPr>
        <w:t>表一 建设项目概况</w:t>
      </w:r>
      <w:bookmarkEnd w:id="11"/>
      <w:bookmarkEnd w:id="12"/>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563"/>
        <w:gridCol w:w="186"/>
        <w:gridCol w:w="2009"/>
        <w:gridCol w:w="242"/>
        <w:gridCol w:w="711"/>
        <w:gridCol w:w="1036"/>
        <w:gridCol w:w="984"/>
        <w:gridCol w:w="726"/>
        <w:gridCol w:w="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3"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建设项目名称</w:t>
            </w:r>
          </w:p>
        </w:tc>
        <w:tc>
          <w:tcPr>
            <w:tcW w:w="6792" w:type="dxa"/>
            <w:gridSpan w:val="8"/>
            <w:vAlign w:val="center"/>
          </w:tcPr>
          <w:p>
            <w:pPr>
              <w:spacing w:line="36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二道河农场污水处理工程建设项目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建设单位名称</w:t>
            </w:r>
          </w:p>
        </w:tc>
        <w:tc>
          <w:tcPr>
            <w:tcW w:w="6792" w:type="dxa"/>
            <w:gridSpan w:val="8"/>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黑龙江省二道河农场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3"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建设项目性质</w:t>
            </w:r>
          </w:p>
        </w:tc>
        <w:tc>
          <w:tcPr>
            <w:tcW w:w="6792" w:type="dxa"/>
            <w:gridSpan w:val="8"/>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新建（√）改扩建（  ）技改（ ）迁建（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2"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建设地点</w:t>
            </w:r>
          </w:p>
        </w:tc>
        <w:tc>
          <w:tcPr>
            <w:tcW w:w="6792" w:type="dxa"/>
            <w:gridSpan w:val="8"/>
            <w:vAlign w:val="center"/>
          </w:tcPr>
          <w:p>
            <w:pPr>
              <w:spacing w:line="36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黑龙江省二道河农场东北部规划区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9" w:hRule="atLeas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设计生产能力</w:t>
            </w:r>
          </w:p>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实际生产能力</w:t>
            </w:r>
          </w:p>
        </w:tc>
        <w:tc>
          <w:tcPr>
            <w:tcW w:w="6792" w:type="dxa"/>
            <w:gridSpan w:val="8"/>
            <w:vAlign w:val="center"/>
          </w:tcPr>
          <w:p>
            <w:pPr>
              <w:pStyle w:val="14"/>
              <w:adjustRightInd/>
              <w:snapToGrid/>
              <w:spacing w:line="360" w:lineRule="auto"/>
              <w:ind w:left="0" w:leftChars="0" w:firstLine="0" w:firstLineChars="0"/>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设计生产能力：</w:t>
            </w:r>
            <w:r>
              <w:rPr>
                <w:rFonts w:hint="eastAsia" w:ascii="Times New Roman" w:hAnsi="Times New Roman" w:cs="Times New Roman"/>
                <w:color w:val="auto"/>
                <w:sz w:val="24"/>
                <w:szCs w:val="24"/>
                <w:highlight w:val="none"/>
                <w:lang w:eastAsia="zh-CN"/>
              </w:rPr>
              <w:t>新建排水管线总长</w:t>
            </w:r>
            <w:r>
              <w:rPr>
                <w:rFonts w:hint="eastAsia" w:ascii="Times New Roman" w:hAnsi="Times New Roman" w:cs="Times New Roman"/>
                <w:color w:val="auto"/>
                <w:sz w:val="24"/>
                <w:szCs w:val="24"/>
                <w:highlight w:val="none"/>
                <w:lang w:val="en-US" w:eastAsia="zh-CN"/>
              </w:rPr>
              <w:t>10km。建设城镇污水处理厂主要包括综合楼和综合处理间（粗格栅间及污水提升泵站、细格栅及沉砂池间、CASS反应池间、鼓风机房、污泥脱水间及储泥池等），占地面积5000m</w:t>
            </w:r>
            <w:r>
              <w:rPr>
                <w:rFonts w:hint="eastAsia"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lang w:val="en-US" w:eastAsia="zh-CN"/>
              </w:rPr>
              <w:t>。污水处理达到GB18918-2002一级B标准后排放。</w:t>
            </w:r>
            <w:r>
              <w:rPr>
                <w:rFonts w:hint="eastAsia" w:ascii="Times New Roman" w:hAnsi="Times New Roman" w:cs="Times New Roman"/>
                <w:color w:val="auto"/>
                <w:highlight w:val="none"/>
                <w:lang w:eastAsia="zh-CN"/>
              </w:rPr>
              <w:t>日处理污水</w:t>
            </w:r>
            <w:r>
              <w:rPr>
                <w:rFonts w:hint="eastAsia" w:ascii="Times New Roman" w:hAnsi="Times New Roman" w:cs="Times New Roman"/>
                <w:color w:val="auto"/>
                <w:highlight w:val="none"/>
                <w:lang w:val="en-US" w:eastAsia="zh-CN"/>
              </w:rPr>
              <w:t>1500m</w:t>
            </w:r>
            <w:r>
              <w:rPr>
                <w:rFonts w:hint="eastAsia"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w:t>
            </w:r>
          </w:p>
          <w:p>
            <w:pPr>
              <w:pStyle w:val="14"/>
              <w:adjustRightInd/>
              <w:snapToGrid/>
              <w:spacing w:line="360" w:lineRule="auto"/>
              <w:ind w:left="0" w:leftChars="0" w:firstLine="0" w:firstLineChars="0"/>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实际</w:t>
            </w:r>
            <w:r>
              <w:rPr>
                <w:rFonts w:hint="default" w:ascii="Times New Roman" w:hAnsi="Times New Roman" w:eastAsia="宋体" w:cs="Times New Roman"/>
                <w:color w:val="auto"/>
                <w:sz w:val="24"/>
                <w:szCs w:val="24"/>
                <w:highlight w:val="none"/>
              </w:rPr>
              <w:t>生产能力：</w:t>
            </w:r>
            <w:r>
              <w:rPr>
                <w:rFonts w:hint="eastAsia" w:ascii="Times New Roman" w:hAnsi="Times New Roman" w:cs="Times New Roman"/>
                <w:color w:val="auto"/>
                <w:sz w:val="24"/>
                <w:szCs w:val="24"/>
                <w:highlight w:val="none"/>
                <w:lang w:eastAsia="zh-CN"/>
              </w:rPr>
              <w:t>新建排水管线总长</w:t>
            </w:r>
            <w:r>
              <w:rPr>
                <w:rFonts w:hint="eastAsia" w:ascii="Times New Roman" w:hAnsi="Times New Roman" w:cs="Times New Roman"/>
                <w:color w:val="auto"/>
                <w:sz w:val="24"/>
                <w:szCs w:val="24"/>
                <w:highlight w:val="none"/>
                <w:lang w:val="en-US" w:eastAsia="zh-CN"/>
              </w:rPr>
              <w:t>10km。建设综合处理间（主要为预处理间、鼓风机房、配电间、污泥脱水间、</w:t>
            </w:r>
            <w:r>
              <w:rPr>
                <w:rFonts w:hint="eastAsia" w:cs="Times New Roman"/>
                <w:color w:val="auto"/>
                <w:sz w:val="24"/>
                <w:szCs w:val="24"/>
                <w:highlight w:val="none"/>
                <w:lang w:val="en-US" w:eastAsia="zh-CN"/>
              </w:rPr>
              <w:t>污泥储罐及紫外线消毒间、CASS反应池、化验室、办公室等</w:t>
            </w:r>
            <w:r>
              <w:rPr>
                <w:rFonts w:hint="eastAsia" w:ascii="Times New Roman" w:hAnsi="Times New Roman" w:cs="Times New Roman"/>
                <w:color w:val="auto"/>
                <w:sz w:val="24"/>
                <w:szCs w:val="24"/>
                <w:highlight w:val="none"/>
                <w:lang w:val="en-US" w:eastAsia="zh-CN"/>
              </w:rPr>
              <w:t>），占地面积2613m</w:t>
            </w:r>
            <w:r>
              <w:rPr>
                <w:rFonts w:hint="eastAsia"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lang w:val="en-US" w:eastAsia="zh-CN"/>
              </w:rPr>
              <w:t>。污水处理达到GB18918-2002一级B标准后排入农场东部护城河。</w:t>
            </w:r>
            <w:r>
              <w:rPr>
                <w:rFonts w:hint="eastAsia" w:ascii="Times New Roman" w:hAnsi="Times New Roman" w:cs="Times New Roman"/>
                <w:color w:val="auto"/>
                <w:highlight w:val="none"/>
                <w:lang w:eastAsia="zh-CN"/>
              </w:rPr>
              <w:t>日处理污水能力为</w:t>
            </w:r>
            <w:r>
              <w:rPr>
                <w:rFonts w:hint="eastAsia" w:ascii="Times New Roman" w:hAnsi="Times New Roman" w:cs="Times New Roman"/>
                <w:color w:val="auto"/>
                <w:highlight w:val="none"/>
                <w:lang w:val="en-US" w:eastAsia="zh-CN"/>
              </w:rPr>
              <w:t>1500m</w:t>
            </w:r>
            <w:r>
              <w:rPr>
                <w:rFonts w:hint="eastAsia" w:ascii="Times New Roman" w:hAnsi="Times New Roman" w:cs="Times New Roman"/>
                <w:color w:val="auto"/>
                <w:highlight w:val="none"/>
                <w:vertAlign w:val="superscript"/>
                <w:lang w:val="en-US" w:eastAsia="zh-CN"/>
              </w:rPr>
              <w:t>3</w:t>
            </w:r>
            <w:r>
              <w:rPr>
                <w:rFonts w:hint="default" w:ascii="Times New Roman" w:hAnsi="Times New Roman"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环评时间</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月</w:t>
            </w:r>
          </w:p>
        </w:tc>
        <w:tc>
          <w:tcPr>
            <w:tcW w:w="1747"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开工建设日期</w:t>
            </w:r>
          </w:p>
        </w:tc>
        <w:tc>
          <w:tcPr>
            <w:tcW w:w="2608"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w:t>
            </w:r>
            <w:r>
              <w:rPr>
                <w:rFonts w:hint="eastAsia" w:cs="Times New Roman"/>
                <w:color w:val="auto"/>
                <w:sz w:val="24"/>
                <w:szCs w:val="24"/>
                <w:highlight w:val="none"/>
                <w:lang w:val="en-US" w:eastAsia="zh-CN"/>
              </w:rPr>
              <w:t>16</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vertAlign w:val="superscript"/>
                <w:lang w:val="en-US" w:eastAsia="zh-CN"/>
              </w:rPr>
              <w:t>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8"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调试时间</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2018年</w:t>
            </w:r>
            <w:r>
              <w:rPr>
                <w:rFonts w:hint="eastAsia"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月</w:t>
            </w:r>
          </w:p>
        </w:tc>
        <w:tc>
          <w:tcPr>
            <w:tcW w:w="1747"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验收现场监测时间</w:t>
            </w:r>
          </w:p>
        </w:tc>
        <w:tc>
          <w:tcPr>
            <w:tcW w:w="2608" w:type="dxa"/>
            <w:gridSpan w:val="3"/>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2018.</w:t>
            </w: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17</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7"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环评报告表</w:t>
            </w:r>
          </w:p>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审批部门</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黑龙江省环境保护厅垦区环境保护局</w:t>
            </w:r>
            <w:r>
              <w:rPr>
                <w:rFonts w:hint="eastAsia" w:cs="Times New Roman"/>
                <w:color w:val="auto"/>
                <w:sz w:val="24"/>
                <w:szCs w:val="24"/>
                <w:highlight w:val="none"/>
                <w:lang w:val="en-US" w:eastAsia="zh-CN"/>
              </w:rPr>
              <w:t xml:space="preserve">  </w:t>
            </w:r>
          </w:p>
        </w:tc>
        <w:tc>
          <w:tcPr>
            <w:tcW w:w="1747"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环评报告表编制单位</w:t>
            </w:r>
          </w:p>
        </w:tc>
        <w:tc>
          <w:tcPr>
            <w:tcW w:w="2608" w:type="dxa"/>
            <w:gridSpan w:val="3"/>
            <w:vAlign w:val="center"/>
          </w:tcPr>
          <w:p>
            <w:pPr>
              <w:spacing w:line="36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黑龙江省农垦环境保护科学研究所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环保设施</w:t>
            </w:r>
          </w:p>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设计单位</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哈尔滨市新中瑞环保科技有限公司</w:t>
            </w:r>
          </w:p>
        </w:tc>
        <w:tc>
          <w:tcPr>
            <w:tcW w:w="1747"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环保设施</w:t>
            </w:r>
          </w:p>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施工单位</w:t>
            </w:r>
          </w:p>
        </w:tc>
        <w:tc>
          <w:tcPr>
            <w:tcW w:w="2608"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哈尔滨庚迪环保工程有限公司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投资总概算</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1800</w:t>
            </w:r>
            <w:r>
              <w:rPr>
                <w:rFonts w:hint="default" w:ascii="Times New Roman" w:hAnsi="Times New Roman" w:eastAsia="宋体" w:cs="Times New Roman"/>
                <w:color w:val="auto"/>
                <w:sz w:val="24"/>
                <w:szCs w:val="24"/>
                <w:highlight w:val="none"/>
              </w:rPr>
              <w:t>万元</w:t>
            </w:r>
          </w:p>
        </w:tc>
        <w:tc>
          <w:tcPr>
            <w:tcW w:w="1747"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环保投资总概算</w:t>
            </w:r>
          </w:p>
        </w:tc>
        <w:tc>
          <w:tcPr>
            <w:tcW w:w="984" w:type="dxa"/>
            <w:tcBorders>
              <w:bottom w:val="single" w:color="auto" w:sz="4" w:space="0"/>
            </w:tcBorders>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1800</w:t>
            </w:r>
            <w:r>
              <w:rPr>
                <w:rFonts w:hint="eastAsia" w:cs="Times New Roman"/>
                <w:color w:val="auto"/>
                <w:sz w:val="24"/>
                <w:szCs w:val="24"/>
                <w:highlight w:val="none"/>
                <w:vertAlign w:val="superscript"/>
                <w:lang w:val="en-US" w:eastAsia="zh-CN"/>
              </w:rPr>
              <w:t>②</w:t>
            </w:r>
            <w:r>
              <w:rPr>
                <w:rFonts w:hint="default" w:ascii="Times New Roman" w:hAnsi="Times New Roman" w:eastAsia="宋体" w:cs="Times New Roman"/>
                <w:color w:val="auto"/>
                <w:sz w:val="24"/>
                <w:szCs w:val="24"/>
                <w:highlight w:val="none"/>
              </w:rPr>
              <w:t>万元</w:t>
            </w:r>
          </w:p>
        </w:tc>
        <w:tc>
          <w:tcPr>
            <w:tcW w:w="726" w:type="dxa"/>
            <w:tcBorders>
              <w:bottom w:val="single" w:color="auto" w:sz="4" w:space="0"/>
            </w:tcBorders>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比例</w:t>
            </w:r>
          </w:p>
        </w:tc>
        <w:tc>
          <w:tcPr>
            <w:tcW w:w="898"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100</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exact"/>
          <w:jc w:val="center"/>
        </w:trPr>
        <w:tc>
          <w:tcPr>
            <w:tcW w:w="1730" w:type="dxa"/>
            <w:gridSpan w:val="2"/>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实际总投资</w:t>
            </w:r>
          </w:p>
        </w:tc>
        <w:tc>
          <w:tcPr>
            <w:tcW w:w="2437" w:type="dxa"/>
            <w:gridSpan w:val="3"/>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1129</w:t>
            </w:r>
            <w:r>
              <w:rPr>
                <w:rFonts w:hint="default" w:ascii="Times New Roman" w:hAnsi="Times New Roman" w:eastAsia="宋体" w:cs="Times New Roman"/>
                <w:color w:val="auto"/>
                <w:sz w:val="24"/>
                <w:szCs w:val="24"/>
                <w:highlight w:val="none"/>
              </w:rPr>
              <w:t>万元</w:t>
            </w:r>
          </w:p>
        </w:tc>
        <w:tc>
          <w:tcPr>
            <w:tcW w:w="1747" w:type="dxa"/>
            <w:gridSpan w:val="2"/>
            <w:tcBorders>
              <w:right w:val="single" w:color="auto" w:sz="4" w:space="0"/>
            </w:tcBorders>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实际环保投资</w:t>
            </w:r>
          </w:p>
        </w:tc>
        <w:tc>
          <w:tcPr>
            <w:tcW w:w="98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1129</w:t>
            </w:r>
            <w:r>
              <w:rPr>
                <w:rFonts w:hint="default" w:ascii="Times New Roman" w:hAnsi="Times New Roman" w:eastAsia="宋体" w:cs="Times New Roman"/>
                <w:color w:val="auto"/>
                <w:sz w:val="24"/>
                <w:szCs w:val="24"/>
                <w:highlight w:val="none"/>
              </w:rPr>
              <w:t>万元</w:t>
            </w:r>
          </w:p>
        </w:tc>
        <w:tc>
          <w:tcPr>
            <w:tcW w:w="726" w:type="dxa"/>
            <w:tcBorders>
              <w:top w:val="single" w:color="auto" w:sz="4" w:space="0"/>
              <w:left w:val="single" w:color="auto" w:sz="4" w:space="0"/>
              <w:bottom w:val="single" w:color="auto" w:sz="4" w:space="0"/>
            </w:tcBorders>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比例</w:t>
            </w:r>
          </w:p>
        </w:tc>
        <w:tc>
          <w:tcPr>
            <w:tcW w:w="898"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100</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79" w:hRule="exact"/>
          <w:jc w:val="center"/>
        </w:trPr>
        <w:tc>
          <w:tcPr>
            <w:tcW w:w="8522" w:type="dxa"/>
            <w:gridSpan w:val="10"/>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说明：①</w:t>
            </w:r>
            <w:r>
              <w:rPr>
                <w:rFonts w:hint="eastAsia" w:cs="Times New Roman"/>
                <w:color w:val="auto"/>
                <w:sz w:val="24"/>
                <w:szCs w:val="24"/>
                <w:highlight w:val="none"/>
                <w:lang w:eastAsia="zh-CN"/>
              </w:rPr>
              <w:t>黑龙江省二道河农场</w:t>
            </w:r>
            <w:r>
              <w:rPr>
                <w:rFonts w:hint="eastAsia" w:cs="Times New Roman"/>
                <w:color w:val="auto"/>
                <w:sz w:val="24"/>
                <w:szCs w:val="24"/>
                <w:highlight w:val="none"/>
                <w:lang w:val="en-US" w:eastAsia="zh-CN"/>
              </w:rPr>
              <w:t>2016年将污水处理厂资金筹措完毕，于2016年5月开始施工（施工许可证详见附件8）；土建工程于2016年8月竣工（竣工验收备案证书详见附件9），设备购置于2018年10月完成；于2018年10月开始调试（调试前环保设施采购票据详见附件10）。②由于综合楼与综合处理车间合建，削减了总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3" w:hRule="atLeast"/>
          <w:jc w:val="center"/>
        </w:trPr>
        <w:tc>
          <w:tcPr>
            <w:tcW w:w="116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验收监测依据</w:t>
            </w:r>
          </w:p>
        </w:tc>
        <w:tc>
          <w:tcPr>
            <w:tcW w:w="7355" w:type="dxa"/>
            <w:gridSpan w:val="9"/>
            <w:vAlign w:val="center"/>
          </w:tcPr>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1、《中华人民共和国环境影响评价法》（2016.9.1）；</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2、《中华人民共和国环境保护法》（2015.1.1）；</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3、《中华人民共和国大气污染防治法》（2015修订）（2016.1.1）；</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4、《中华人民共和国水污染防治法》（2018.1.1）；</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5、《中华人民共和国环境噪声污染防治法》（1996.10.29）；</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6、《中华人民共和国固体废物污染环境防治法》（2016.11.7）；</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7、《建设项目环境保护管理条例》（国务院令第682号，2017.10.1）；</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8、《建设项目竣工环境保护验收技术指南污染影响类》（公告2018年第9号，2018.5.15）；</w:t>
            </w:r>
          </w:p>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9、《关于加强环境影响评价管理防范环境风险的通知》（环发[2012]77号，国家环境保护总局，2017.7.3）；</w:t>
            </w:r>
          </w:p>
          <w:p>
            <w:pPr>
              <w:spacing w:line="360" w:lineRule="auto"/>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10、《建设项目竣工环境保护验收暂行办法》（国环规环评[2017]4号，2017.11.20）</w:t>
            </w:r>
            <w:r>
              <w:rPr>
                <w:rFonts w:hint="eastAsia" w:cs="Times New Roman"/>
                <w:color w:val="auto"/>
                <w:sz w:val="24"/>
                <w:szCs w:val="24"/>
                <w:highlight w:val="none"/>
                <w:lang w:eastAsia="zh-CN"/>
              </w:rPr>
              <w:t>；</w:t>
            </w:r>
          </w:p>
          <w:p>
            <w:pPr>
              <w:spacing w:line="360" w:lineRule="auto"/>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二道河农场污水处理工程建设项目</w:t>
            </w:r>
            <w:r>
              <w:rPr>
                <w:rFonts w:hint="default" w:ascii="Times New Roman" w:hAnsi="Times New Roman" w:eastAsia="宋体" w:cs="Times New Roman"/>
                <w:color w:val="auto"/>
                <w:sz w:val="24"/>
                <w:szCs w:val="24"/>
                <w:highlight w:val="none"/>
              </w:rPr>
              <w:t>环境影响报告表》（</w:t>
            </w:r>
            <w:r>
              <w:rPr>
                <w:rFonts w:hint="eastAsia" w:cs="Times New Roman"/>
                <w:color w:val="auto"/>
                <w:sz w:val="24"/>
                <w:szCs w:val="24"/>
                <w:highlight w:val="none"/>
                <w:lang w:eastAsia="zh-CN"/>
              </w:rPr>
              <w:t>黑龙江省农垦环境保护科学研究所</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w:t>
            </w:r>
          </w:p>
          <w:p>
            <w:pPr>
              <w:spacing w:line="360" w:lineRule="auto"/>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、《关于二道河农场污水处理工程建设项目环境影响报告表</w:t>
            </w:r>
            <w:r>
              <w:rPr>
                <w:rFonts w:hint="eastAsia" w:cs="Times New Roman"/>
                <w:color w:val="auto"/>
                <w:sz w:val="24"/>
                <w:szCs w:val="24"/>
                <w:highlight w:val="none"/>
                <w:lang w:eastAsia="zh-CN"/>
              </w:rPr>
              <w:t>审批意见</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黑垦环审</w:t>
            </w:r>
            <w:r>
              <w:rPr>
                <w:rFonts w:hint="default" w:ascii="Times New Roman" w:hAnsi="Times New Roman" w:eastAsia="宋体" w:cs="Times New Roman"/>
                <w:color w:val="auto"/>
                <w:sz w:val="24"/>
                <w:szCs w:val="24"/>
                <w:highlight w:val="none"/>
              </w:rPr>
              <w:t>[20</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77</w:t>
            </w:r>
            <w:r>
              <w:rPr>
                <w:rFonts w:hint="default" w:ascii="Times New Roman" w:hAnsi="Times New Roman" w:eastAsia="宋体" w:cs="Times New Roman"/>
                <w:color w:val="auto"/>
                <w:sz w:val="24"/>
                <w:szCs w:val="24"/>
                <w:highlight w:val="none"/>
              </w:rPr>
              <w:t>号，</w:t>
            </w:r>
            <w:r>
              <w:rPr>
                <w:rFonts w:hint="eastAsia" w:cs="Times New Roman"/>
                <w:color w:val="auto"/>
                <w:sz w:val="24"/>
                <w:szCs w:val="24"/>
                <w:highlight w:val="none"/>
                <w:lang w:eastAsia="zh-CN"/>
              </w:rPr>
              <w:t>黑龙江省环境保护厅垦区环境保护局</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，20</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w:t>
            </w:r>
            <w:r>
              <w:rPr>
                <w:rFonts w:hint="default" w:ascii="Times New Roman" w:hAnsi="Times New Roman" w:cs="Times New Roman"/>
                <w:color w:val="auto"/>
                <w:sz w:val="24"/>
                <w:szCs w:val="24"/>
                <w:highlight w:val="none"/>
                <w:lang w:val="en-US" w:eastAsia="zh-CN"/>
              </w:rPr>
              <w:t>1</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167" w:type="dxa"/>
            <w:vMerge w:val="restart"/>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验收监测评价标准、标号、级别、限值</w:t>
            </w:r>
          </w:p>
        </w:tc>
        <w:tc>
          <w:tcPr>
            <w:tcW w:w="7355" w:type="dxa"/>
            <w:gridSpan w:val="9"/>
            <w:vAlign w:val="top"/>
          </w:tcPr>
          <w:p>
            <w:pPr>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验收监测评价标准：</w:t>
            </w:r>
          </w:p>
          <w:p>
            <w:pPr>
              <w:pStyle w:val="15"/>
              <w:spacing w:line="360" w:lineRule="auto"/>
              <w:ind w:firstLine="480"/>
              <w:rPr>
                <w:rFonts w:hint="default" w:cs="Times New Roman"/>
                <w:color w:val="auto"/>
                <w:highlight w:val="none"/>
                <w:lang w:val="en-US" w:eastAsia="zh-CN"/>
              </w:rPr>
            </w:pPr>
            <w:r>
              <w:rPr>
                <w:rFonts w:hint="eastAsia" w:cs="Times New Roman"/>
                <w:color w:val="auto"/>
                <w:highlight w:val="none"/>
                <w:lang w:val="en-US" w:eastAsia="zh-CN"/>
              </w:rPr>
              <w:t>1、</w:t>
            </w:r>
            <w:r>
              <w:rPr>
                <w:rFonts w:hint="default" w:cs="Times New Roman"/>
                <w:color w:val="auto"/>
                <w:highlight w:val="none"/>
                <w:lang w:val="en-US" w:eastAsia="zh-CN"/>
              </w:rPr>
              <w:t>废气：恶臭气体无组织排厂界执行《城镇污水处理厂污染物排放标准》（GB18918-2002）；</w:t>
            </w:r>
          </w:p>
          <w:p>
            <w:pPr>
              <w:pStyle w:val="15"/>
              <w:spacing w:line="360" w:lineRule="auto"/>
              <w:ind w:firstLine="480"/>
              <w:rPr>
                <w:rFonts w:hint="eastAsia" w:cs="Times New Roman"/>
                <w:color w:val="auto"/>
                <w:highlight w:val="none"/>
                <w:lang w:val="en-US" w:eastAsia="zh-CN"/>
              </w:rPr>
            </w:pPr>
            <w:r>
              <w:rPr>
                <w:rFonts w:hint="eastAsia" w:cs="Times New Roman"/>
                <w:color w:val="auto"/>
                <w:highlight w:val="none"/>
                <w:lang w:val="en-US" w:eastAsia="zh-CN"/>
              </w:rPr>
              <w:t>2、恶臭气体有组织排放执行</w:t>
            </w:r>
            <w:r>
              <w:rPr>
                <w:rFonts w:hint="default" w:cs="Times New Roman"/>
                <w:color w:val="auto"/>
                <w:highlight w:val="none"/>
                <w:lang w:val="en-US" w:eastAsia="zh-CN"/>
              </w:rPr>
              <w:t>《恶臭污染物排放标准》（GB14554-93）中二级要求</w:t>
            </w:r>
            <w:r>
              <w:rPr>
                <w:rFonts w:hint="eastAsia" w:cs="Times New Roman"/>
                <w:color w:val="auto"/>
                <w:highlight w:val="none"/>
                <w:lang w:val="en-US" w:eastAsia="zh-CN"/>
              </w:rPr>
              <w:t>；</w:t>
            </w:r>
          </w:p>
          <w:p>
            <w:pPr>
              <w:pStyle w:val="15"/>
              <w:spacing w:line="360" w:lineRule="auto"/>
              <w:ind w:firstLine="480"/>
              <w:rPr>
                <w:rFonts w:hint="default" w:ascii="Times New Roman" w:hAnsi="Times New Roman" w:cs="Times New Roman"/>
                <w:color w:val="auto"/>
                <w:highlight w:val="none"/>
              </w:rPr>
            </w:pPr>
            <w:r>
              <w:rPr>
                <w:rFonts w:hint="eastAsia" w:cs="Times New Roman"/>
                <w:color w:val="auto"/>
                <w:highlight w:val="none"/>
                <w:lang w:val="en-US" w:eastAsia="zh-CN"/>
              </w:rPr>
              <w:t>3、</w:t>
            </w:r>
            <w:r>
              <w:rPr>
                <w:rFonts w:hint="default" w:ascii="Times New Roman" w:hAnsi="Times New Roman" w:cs="Times New Roman"/>
                <w:color w:val="auto"/>
                <w:highlight w:val="none"/>
              </w:rPr>
              <w:t>废水：</w:t>
            </w:r>
            <w:r>
              <w:rPr>
                <w:rFonts w:hint="default" w:ascii="Times New Roman" w:hAnsi="Times New Roman" w:cs="Times New Roman"/>
                <w:color w:val="auto"/>
                <w:sz w:val="24"/>
                <w:szCs w:val="28"/>
                <w:highlight w:val="none"/>
                <w:lang w:eastAsia="zh-CN"/>
              </w:rPr>
              <w:t>尾水</w:t>
            </w:r>
            <w:r>
              <w:rPr>
                <w:rFonts w:hint="default" w:ascii="Times New Roman" w:hAnsi="Times New Roman" w:cs="Times New Roman"/>
                <w:color w:val="auto"/>
                <w:sz w:val="24"/>
                <w:szCs w:val="28"/>
                <w:highlight w:val="none"/>
              </w:rPr>
              <w:t>排放满足《城镇污水处理厂污染物排放标准》（GB18918-2002）一级B标准</w:t>
            </w:r>
            <w:r>
              <w:rPr>
                <w:rFonts w:hint="default" w:ascii="Times New Roman" w:hAnsi="Times New Roman" w:cs="Times New Roman"/>
                <w:color w:val="auto"/>
                <w:highlight w:val="none"/>
              </w:rPr>
              <w:t>；</w:t>
            </w:r>
          </w:p>
          <w:p>
            <w:pPr>
              <w:pStyle w:val="15"/>
              <w:spacing w:line="360" w:lineRule="auto"/>
              <w:ind w:firstLine="480"/>
              <w:rPr>
                <w:rFonts w:hint="default" w:ascii="Times New Roman" w:hAnsi="Times New Roman" w:cs="Times New Roman"/>
                <w:color w:val="auto"/>
                <w:highlight w:val="none"/>
                <w:lang w:eastAsia="zh-CN"/>
              </w:rPr>
            </w:pPr>
            <w:r>
              <w:rPr>
                <w:rFonts w:hint="eastAsia" w:cs="Times New Roman"/>
                <w:color w:val="auto"/>
                <w:highlight w:val="none"/>
                <w:lang w:val="en-US" w:eastAsia="zh-CN"/>
              </w:rPr>
              <w:t>4、</w:t>
            </w:r>
            <w:r>
              <w:rPr>
                <w:rFonts w:hint="default" w:ascii="Times New Roman" w:hAnsi="Times New Roman" w:cs="Times New Roman"/>
                <w:color w:val="auto"/>
                <w:highlight w:val="none"/>
              </w:rPr>
              <w:t>噪声：运营期厂界噪声执行《工业企业厂界环境噪声排放标准》（GB12348-2008）中</w:t>
            </w:r>
            <w:r>
              <w:rPr>
                <w:rFonts w:hint="eastAsia" w:cs="Times New Roman"/>
                <w:color w:val="auto"/>
                <w:highlight w:val="none"/>
                <w:lang w:val="en-US" w:eastAsia="zh-CN"/>
              </w:rPr>
              <w:t>2</w:t>
            </w:r>
            <w:r>
              <w:rPr>
                <w:rFonts w:hint="default" w:ascii="Times New Roman" w:hAnsi="Times New Roman" w:cs="Times New Roman"/>
                <w:color w:val="auto"/>
                <w:highlight w:val="none"/>
              </w:rPr>
              <w:t>类区标准</w:t>
            </w:r>
            <w:r>
              <w:rPr>
                <w:rFonts w:hint="default" w:ascii="Times New Roman" w:hAnsi="Times New Roman" w:cs="Times New Roman"/>
                <w:color w:val="auto"/>
                <w:highlight w:val="none"/>
                <w:lang w:eastAsia="zh-CN"/>
              </w:rPr>
              <w:t>；</w:t>
            </w:r>
          </w:p>
          <w:p>
            <w:pPr>
              <w:pStyle w:val="15"/>
              <w:spacing w:line="360" w:lineRule="auto"/>
              <w:ind w:firstLine="480"/>
              <w:rPr>
                <w:rFonts w:hint="default" w:ascii="Times New Roman" w:hAnsi="Times New Roman" w:cs="Times New Roman"/>
                <w:color w:val="auto"/>
                <w:sz w:val="24"/>
                <w:szCs w:val="24"/>
                <w:highlight w:val="none"/>
                <w:lang w:eastAsia="zh-CN"/>
              </w:rPr>
            </w:pPr>
            <w:r>
              <w:rPr>
                <w:rFonts w:hint="eastAsia" w:cs="Times New Roman"/>
                <w:color w:val="auto"/>
                <w:highlight w:val="none"/>
                <w:lang w:val="en-US" w:eastAsia="zh-CN"/>
              </w:rPr>
              <w:t>5、</w:t>
            </w:r>
            <w:r>
              <w:rPr>
                <w:rFonts w:hint="default" w:ascii="Times New Roman" w:hAnsi="Times New Roman" w:cs="Times New Roman"/>
                <w:color w:val="auto"/>
                <w:highlight w:val="none"/>
                <w:lang w:val="en-US" w:eastAsia="zh-CN"/>
              </w:rPr>
              <w:t>声环境：敏感点噪声执行</w:t>
            </w:r>
            <w:r>
              <w:rPr>
                <w:rFonts w:hint="default" w:ascii="Times New Roman" w:hAnsi="Times New Roman" w:eastAsia="宋体" w:cs="Times New Roman"/>
                <w:color w:val="auto"/>
                <w:sz w:val="24"/>
                <w:szCs w:val="24"/>
                <w:highlight w:val="none"/>
              </w:rPr>
              <w:t>《声环境质量标准》（GB3096-2008）中</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类标准</w:t>
            </w:r>
            <w:r>
              <w:rPr>
                <w:rFonts w:hint="default" w:ascii="Times New Roman" w:hAnsi="Times New Roman" w:cs="Times New Roman"/>
                <w:color w:val="auto"/>
                <w:sz w:val="24"/>
                <w:szCs w:val="24"/>
                <w:highlight w:val="none"/>
                <w:lang w:eastAsia="zh-CN"/>
              </w:rPr>
              <w:t>；</w:t>
            </w:r>
          </w:p>
          <w:p>
            <w:pPr>
              <w:pStyle w:val="15"/>
              <w:spacing w:line="360" w:lineRule="auto"/>
              <w:ind w:firstLine="48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6、</w:t>
            </w:r>
            <w:r>
              <w:rPr>
                <w:rFonts w:hint="default" w:ascii="Times New Roman" w:hAnsi="Times New Roman" w:cs="Times New Roman"/>
                <w:color w:val="auto"/>
                <w:sz w:val="24"/>
                <w:szCs w:val="24"/>
                <w:highlight w:val="none"/>
                <w:lang w:val="en-US" w:eastAsia="zh-CN"/>
              </w:rPr>
              <w:t>环境空气：敏感点</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S执行《工业企业设计卫生标准》（TJ36-79）表1居住区大气中有害物质的最高容许浓度</w:t>
            </w:r>
            <w:r>
              <w:rPr>
                <w:rFonts w:hint="default" w:ascii="Times New Roman" w:hAnsi="Times New Roman" w:cs="Times New Roman"/>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355" w:type="dxa"/>
            <w:gridSpan w:val="9"/>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验收监测评价标准及标准来源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2758" w:type="dxa"/>
            <w:gridSpan w:val="3"/>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污染物名称</w:t>
            </w:r>
          </w:p>
        </w:tc>
        <w:tc>
          <w:tcPr>
            <w:tcW w:w="953" w:type="dxa"/>
            <w:gridSpan w:val="2"/>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标准值</w:t>
            </w:r>
          </w:p>
        </w:tc>
        <w:tc>
          <w:tcPr>
            <w:tcW w:w="1036"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单位</w:t>
            </w:r>
          </w:p>
        </w:tc>
        <w:tc>
          <w:tcPr>
            <w:tcW w:w="2608" w:type="dxa"/>
            <w:gridSpan w:val="3"/>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有组织废气</w:t>
            </w:r>
          </w:p>
        </w:tc>
        <w:tc>
          <w:tcPr>
            <w:tcW w:w="2009" w:type="dxa"/>
            <w:vAlign w:val="center"/>
          </w:tcPr>
          <w:p>
            <w:pPr>
              <w:spacing w:line="240" w:lineRule="auto"/>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NH</w:t>
            </w:r>
            <w:r>
              <w:rPr>
                <w:rFonts w:hint="eastAsia" w:ascii="Times New Roman" w:hAnsi="Times New Roman" w:cs="Times New Roman"/>
                <w:color w:val="auto"/>
                <w:sz w:val="21"/>
                <w:szCs w:val="21"/>
                <w:highlight w:val="none"/>
                <w:vertAlign w:val="subscript"/>
                <w:lang w:val="en-US" w:eastAsia="zh-CN"/>
              </w:rPr>
              <w:t>3</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4.9</w:t>
            </w:r>
          </w:p>
        </w:tc>
        <w:tc>
          <w:tcPr>
            <w:tcW w:w="1036" w:type="dxa"/>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kg/h</w:t>
            </w:r>
          </w:p>
        </w:tc>
        <w:tc>
          <w:tcPr>
            <w:tcW w:w="2608" w:type="dxa"/>
            <w:gridSpan w:val="3"/>
            <w:vMerge w:val="restart"/>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lang w:val="en-US" w:eastAsia="zh-CN"/>
              </w:rPr>
              <w:t>《恶臭污染物排放标准》（GB14554-93）中二级要求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9"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H</w:t>
            </w:r>
            <w:r>
              <w:rPr>
                <w:rFonts w:hint="eastAsia" w:ascii="Times New Roman" w:hAnsi="Times New Roman" w:cs="Times New Roman"/>
                <w:color w:val="auto"/>
                <w:sz w:val="21"/>
                <w:szCs w:val="21"/>
                <w:highlight w:val="none"/>
                <w:vertAlign w:val="subscript"/>
                <w:lang w:val="en-US" w:eastAsia="zh-CN"/>
              </w:rPr>
              <w:t>2</w:t>
            </w:r>
            <w:r>
              <w:rPr>
                <w:rFonts w:hint="eastAsia" w:ascii="Times New Roman" w:hAnsi="Times New Roman" w:cs="Times New Roman"/>
                <w:color w:val="auto"/>
                <w:sz w:val="21"/>
                <w:szCs w:val="21"/>
                <w:highlight w:val="none"/>
                <w:lang w:val="en-US" w:eastAsia="zh-CN"/>
              </w:rPr>
              <w:t>S</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0.33</w:t>
            </w:r>
          </w:p>
        </w:tc>
        <w:tc>
          <w:tcPr>
            <w:tcW w:w="1036" w:type="dxa"/>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kg/h</w:t>
            </w:r>
          </w:p>
        </w:tc>
        <w:tc>
          <w:tcPr>
            <w:tcW w:w="2608" w:type="dxa"/>
            <w:gridSpan w:val="3"/>
            <w:vMerge w:val="continue"/>
            <w:vAlign w:val="center"/>
          </w:tcPr>
          <w:p>
            <w:pPr>
              <w:spacing w:line="240" w:lineRule="auto"/>
              <w:jc w:val="center"/>
              <w:outlineLvl w:val="0"/>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9"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臭气浓度</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2000</w:t>
            </w:r>
          </w:p>
        </w:tc>
        <w:tc>
          <w:tcPr>
            <w:tcW w:w="1036" w:type="dxa"/>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无量纲</w:t>
            </w:r>
          </w:p>
        </w:tc>
        <w:tc>
          <w:tcPr>
            <w:tcW w:w="2608" w:type="dxa"/>
            <w:gridSpan w:val="3"/>
            <w:vMerge w:val="continue"/>
            <w:vAlign w:val="center"/>
          </w:tcPr>
          <w:p>
            <w:pPr>
              <w:spacing w:line="240" w:lineRule="auto"/>
              <w:jc w:val="center"/>
              <w:outlineLvl w:val="0"/>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3"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restart"/>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无组织废气</w:t>
            </w:r>
          </w:p>
        </w:tc>
        <w:tc>
          <w:tcPr>
            <w:tcW w:w="2009"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NH</w:t>
            </w:r>
            <w:r>
              <w:rPr>
                <w:rFonts w:hint="eastAsia" w:cs="Times New Roman"/>
                <w:color w:val="auto"/>
                <w:sz w:val="21"/>
                <w:szCs w:val="21"/>
                <w:highlight w:val="none"/>
                <w:vertAlign w:val="subscript"/>
                <w:lang w:val="en-US" w:eastAsia="zh-CN"/>
              </w:rPr>
              <w:t>3</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036"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2608" w:type="dxa"/>
            <w:gridSpan w:val="3"/>
            <w:vMerge w:val="restart"/>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《城镇污水处理厂污染物排放标准》（GB18918-2002）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3"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center"/>
              <w:rPr>
                <w:rFonts w:hint="default" w:ascii="Times New Roman" w:hAnsi="Times New Roman" w:cs="Times New Roman"/>
                <w:color w:val="auto"/>
                <w:sz w:val="21"/>
                <w:szCs w:val="21"/>
                <w:highlight w:val="none"/>
                <w:lang w:val="en-US" w:eastAsia="zh-CN"/>
              </w:rPr>
            </w:pPr>
          </w:p>
        </w:tc>
        <w:tc>
          <w:tcPr>
            <w:tcW w:w="2009" w:type="dxa"/>
            <w:vAlign w:val="center"/>
          </w:tcPr>
          <w:p>
            <w:pPr>
              <w:spacing w:line="240" w:lineRule="auto"/>
              <w:jc w:val="center"/>
              <w:rPr>
                <w:rFonts w:hint="default" w:ascii="Times New Roman" w:hAnsi="Times New Roman" w:cs="Times New Roman"/>
                <w:color w:val="auto"/>
                <w:sz w:val="21"/>
                <w:szCs w:val="21"/>
                <w:highlight w:val="none"/>
                <w:lang w:eastAsia="zh-CN"/>
              </w:rPr>
            </w:pPr>
            <w:r>
              <w:rPr>
                <w:rFonts w:hint="eastAsia" w:cs="Times New Roman"/>
                <w:color w:val="auto"/>
                <w:sz w:val="21"/>
                <w:szCs w:val="21"/>
                <w:highlight w:val="none"/>
                <w:lang w:val="en-US" w:eastAsia="zh-CN"/>
              </w:rPr>
              <w:t>H</w:t>
            </w:r>
            <w:r>
              <w:rPr>
                <w:rFonts w:hint="eastAsia" w:cs="Times New Roman"/>
                <w:color w:val="auto"/>
                <w:sz w:val="21"/>
                <w:szCs w:val="21"/>
                <w:highlight w:val="none"/>
                <w:vertAlign w:val="subscript"/>
                <w:lang w:val="en-US" w:eastAsia="zh-CN"/>
              </w:rPr>
              <w:t>2</w:t>
            </w:r>
            <w:r>
              <w:rPr>
                <w:rFonts w:hint="eastAsia" w:cs="Times New Roman"/>
                <w:color w:val="auto"/>
                <w:sz w:val="21"/>
                <w:szCs w:val="21"/>
                <w:highlight w:val="none"/>
                <w:lang w:val="en-US" w:eastAsia="zh-CN"/>
              </w:rPr>
              <w:t>S</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0.06</w:t>
            </w:r>
          </w:p>
        </w:tc>
        <w:tc>
          <w:tcPr>
            <w:tcW w:w="1036"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mg/m</w:t>
            </w:r>
            <w:r>
              <w:rPr>
                <w:rFonts w:hint="default" w:ascii="Times New Roman" w:hAnsi="Times New Roman" w:eastAsia="宋体" w:cs="Times New Roman"/>
                <w:color w:val="auto"/>
                <w:sz w:val="21"/>
                <w:szCs w:val="21"/>
                <w:highlight w:val="none"/>
                <w:vertAlign w:val="superscript"/>
              </w:rPr>
              <w:t>3</w:t>
            </w:r>
          </w:p>
        </w:tc>
        <w:tc>
          <w:tcPr>
            <w:tcW w:w="2608" w:type="dxa"/>
            <w:gridSpan w:val="3"/>
            <w:vMerge w:val="continue"/>
            <w:vAlign w:val="center"/>
          </w:tcPr>
          <w:p>
            <w:pPr>
              <w:spacing w:line="240" w:lineRule="auto"/>
              <w:jc w:val="center"/>
              <w:outlineLvl w:val="0"/>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3"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center"/>
              <w:rPr>
                <w:rFonts w:hint="default" w:ascii="Times New Roman" w:hAnsi="Times New Roman" w:cs="Times New Roman"/>
                <w:color w:val="auto"/>
                <w:sz w:val="21"/>
                <w:szCs w:val="21"/>
                <w:highlight w:val="none"/>
                <w:lang w:val="en-US" w:eastAsia="zh-CN"/>
              </w:rPr>
            </w:pPr>
          </w:p>
        </w:tc>
        <w:tc>
          <w:tcPr>
            <w:tcW w:w="2009" w:type="dxa"/>
            <w:vAlign w:val="center"/>
          </w:tcPr>
          <w:p>
            <w:pPr>
              <w:spacing w:line="240" w:lineRule="auto"/>
              <w:jc w:val="center"/>
              <w:rPr>
                <w:rFonts w:hint="eastAsia"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臭气浓度</w:t>
            </w:r>
          </w:p>
        </w:tc>
        <w:tc>
          <w:tcPr>
            <w:tcW w:w="953"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036" w:type="dxa"/>
            <w:vAlign w:val="center"/>
          </w:tcPr>
          <w:p>
            <w:pPr>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无量纲</w:t>
            </w:r>
          </w:p>
        </w:tc>
        <w:tc>
          <w:tcPr>
            <w:tcW w:w="2608" w:type="dxa"/>
            <w:gridSpan w:val="3"/>
            <w:vMerge w:val="continue"/>
            <w:vAlign w:val="center"/>
          </w:tcPr>
          <w:p>
            <w:pPr>
              <w:spacing w:line="240" w:lineRule="auto"/>
              <w:jc w:val="center"/>
              <w:outlineLvl w:val="0"/>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9"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w:t>
            </w:r>
          </w:p>
        </w:tc>
        <w:tc>
          <w:tcPr>
            <w:tcW w:w="2009"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类昼间</w:t>
            </w:r>
          </w:p>
        </w:tc>
        <w:tc>
          <w:tcPr>
            <w:tcW w:w="953" w:type="dxa"/>
            <w:gridSpan w:val="2"/>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60</w:t>
            </w:r>
          </w:p>
        </w:tc>
        <w:tc>
          <w:tcPr>
            <w:tcW w:w="1036"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608" w:type="dxa"/>
            <w:gridSpan w:val="3"/>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《工业企业厂界环境噪声排放标准》（GB 12348-2008）</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类夜间</w:t>
            </w:r>
          </w:p>
        </w:tc>
        <w:tc>
          <w:tcPr>
            <w:tcW w:w="953" w:type="dxa"/>
            <w:gridSpan w:val="2"/>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1036"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restart"/>
            <w:vAlign w:val="center"/>
          </w:tcPr>
          <w:p>
            <w:pPr>
              <w:spacing w:line="240" w:lineRule="auto"/>
              <w:jc w:val="center"/>
              <w:rPr>
                <w:rFonts w:hint="default"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污水</w:t>
            </w: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pH</w:t>
            </w:r>
            <w:r>
              <w:rPr>
                <w:rFonts w:hint="eastAsia" w:ascii="Times New Roman" w:hAnsi="Times New Roman" w:cs="Times New Roman"/>
                <w:color w:val="auto"/>
                <w:sz w:val="21"/>
                <w:szCs w:val="21"/>
                <w:highlight w:val="none"/>
                <w:lang w:val="en-US" w:eastAsia="zh-CN"/>
              </w:rPr>
              <w:t>值</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w:t>
            </w:r>
            <w:r>
              <w:rPr>
                <w:rFonts w:hint="default" w:ascii="Times New Roman" w:hAnsi="Times New Roman" w:cs="Times New Roman"/>
                <w:color w:val="auto"/>
                <w:sz w:val="21"/>
                <w:szCs w:val="21"/>
                <w:highlight w:val="none"/>
                <w:lang w:val="en-US" w:eastAsia="zh-CN"/>
              </w:rPr>
              <w:t>9</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无量纲</w:t>
            </w:r>
          </w:p>
        </w:tc>
        <w:tc>
          <w:tcPr>
            <w:tcW w:w="2608" w:type="dxa"/>
            <w:gridSpan w:val="3"/>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《城镇污水处理厂污染物排放标准》（GB18918-2002）一级B标准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25"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色度</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w:t>
            </w:r>
          </w:p>
        </w:tc>
        <w:tc>
          <w:tcPr>
            <w:tcW w:w="1036" w:type="dxa"/>
            <w:vAlign w:val="center"/>
          </w:tcPr>
          <w:p>
            <w:pPr>
              <w:spacing w:line="240" w:lineRule="auto"/>
              <w:jc w:val="center"/>
              <w:outlineLvl w:val="0"/>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稀释倍数</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动植物油</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石油类</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生化需氧量</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化学需氧量</w:t>
            </w:r>
          </w:p>
        </w:tc>
        <w:tc>
          <w:tcPr>
            <w:tcW w:w="953" w:type="dxa"/>
            <w:gridSpan w:val="2"/>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60</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氨氮</w:t>
            </w:r>
          </w:p>
        </w:tc>
        <w:tc>
          <w:tcPr>
            <w:tcW w:w="953" w:type="dxa"/>
            <w:gridSpan w:val="2"/>
            <w:vAlign w:val="center"/>
          </w:tcPr>
          <w:p>
            <w:pPr>
              <w:spacing w:line="240" w:lineRule="auto"/>
              <w:jc w:val="both"/>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8（15）</w:t>
            </w:r>
          </w:p>
        </w:tc>
        <w:tc>
          <w:tcPr>
            <w:tcW w:w="1036" w:type="dxa"/>
            <w:vAlign w:val="center"/>
          </w:tcPr>
          <w:p>
            <w:pPr>
              <w:spacing w:line="240" w:lineRule="auto"/>
              <w:jc w:val="center"/>
              <w:outlineLvl w:val="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总磷</w:t>
            </w:r>
          </w:p>
        </w:tc>
        <w:tc>
          <w:tcPr>
            <w:tcW w:w="953" w:type="dxa"/>
            <w:gridSpan w:val="2"/>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36"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总氮</w:t>
            </w:r>
          </w:p>
        </w:tc>
        <w:tc>
          <w:tcPr>
            <w:tcW w:w="953" w:type="dxa"/>
            <w:gridSpan w:val="2"/>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036"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阴离子表面活性剂</w:t>
            </w:r>
          </w:p>
        </w:tc>
        <w:tc>
          <w:tcPr>
            <w:tcW w:w="953" w:type="dxa"/>
            <w:gridSpan w:val="2"/>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36"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gridSpan w:val="2"/>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汞</w:t>
            </w:r>
          </w:p>
        </w:tc>
        <w:tc>
          <w:tcPr>
            <w:tcW w:w="953" w:type="dxa"/>
            <w:gridSpan w:val="2"/>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0.001</w:t>
            </w:r>
          </w:p>
        </w:tc>
        <w:tc>
          <w:tcPr>
            <w:tcW w:w="1036"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608" w:type="dxa"/>
            <w:gridSpan w:val="3"/>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bl>
    <w:p>
      <w:pPr>
        <w:rPr>
          <w:color w:val="auto"/>
          <w:highlight w:val="none"/>
        </w:rPr>
      </w:pPr>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749"/>
        <w:gridCol w:w="2009"/>
        <w:gridCol w:w="953"/>
        <w:gridCol w:w="1157"/>
        <w:gridCol w:w="2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restart"/>
            <w:vAlign w:val="center"/>
          </w:tcPr>
          <w:p>
            <w:pPr>
              <w:spacing w:line="24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验收监测评价标准、标号、级别、限值</w:t>
            </w:r>
          </w:p>
        </w:tc>
        <w:tc>
          <w:tcPr>
            <w:tcW w:w="7355" w:type="dxa"/>
            <w:gridSpan w:val="5"/>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验收监测评价标准及标准来源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4"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2758" w:type="dxa"/>
            <w:gridSpan w:val="2"/>
            <w:vAlign w:val="center"/>
          </w:tcPr>
          <w:p>
            <w:pPr>
              <w:spacing w:line="240" w:lineRule="auto"/>
              <w:jc w:val="center"/>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污染物名称</w:t>
            </w:r>
          </w:p>
        </w:tc>
        <w:tc>
          <w:tcPr>
            <w:tcW w:w="953" w:type="dxa"/>
            <w:vAlign w:val="center"/>
          </w:tcPr>
          <w:p>
            <w:pPr>
              <w:spacing w:line="240" w:lineRule="auto"/>
              <w:jc w:val="center"/>
              <w:rPr>
                <w:rFonts w:hint="eastAsia"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标准值</w:t>
            </w:r>
          </w:p>
        </w:tc>
        <w:tc>
          <w:tcPr>
            <w:tcW w:w="1157"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单位</w:t>
            </w:r>
          </w:p>
        </w:tc>
        <w:tc>
          <w:tcPr>
            <w:tcW w:w="2487"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标准来源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eastAsia="zh-CN"/>
              </w:rPr>
              <w:t>污水</w:t>
            </w: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砷</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0.1</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《城镇污水处理厂污染物排放标准》（GB18918-2002）一级B标准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烷基汞</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不得检出</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铅</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0.1</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镉</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0.01</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铬</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0.1</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六价铬</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0.05</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悬浮物</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mg/L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粪大肠菌群</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vertAlign w:val="superscript"/>
                <w:lang w:val="en-US" w:eastAsia="zh-CN"/>
              </w:rPr>
            </w:pPr>
            <w:r>
              <w:rPr>
                <w:rFonts w:hint="eastAsia" w:cs="Times New Roman"/>
                <w:color w:val="auto"/>
                <w:sz w:val="21"/>
                <w:szCs w:val="21"/>
                <w:highlight w:val="none"/>
                <w:lang w:val="en-US" w:eastAsia="zh-CN"/>
              </w:rPr>
              <w:t>10</w:t>
            </w:r>
            <w:r>
              <w:rPr>
                <w:rFonts w:hint="eastAsia" w:cs="Times New Roman"/>
                <w:color w:val="auto"/>
                <w:sz w:val="21"/>
                <w:szCs w:val="21"/>
                <w:highlight w:val="none"/>
                <w:vertAlign w:val="superscript"/>
                <w:lang w:val="en-US" w:eastAsia="zh-CN"/>
              </w:rPr>
              <w:t>4</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eastAsia="zh-CN"/>
              </w:rPr>
            </w:pPr>
            <w:r>
              <w:rPr>
                <w:rFonts w:hint="eastAsia" w:cs="Times New Roman"/>
                <w:color w:val="auto"/>
                <w:sz w:val="21"/>
                <w:szCs w:val="21"/>
                <w:highlight w:val="none"/>
                <w:lang w:eastAsia="zh-CN"/>
              </w:rPr>
              <w:t>个</w:t>
            </w:r>
            <w:r>
              <w:rPr>
                <w:rFonts w:hint="default" w:ascii="Times New Roman" w:hAnsi="Times New Roman" w:eastAsia="宋体" w:cs="Times New Roman"/>
                <w:color w:val="auto"/>
                <w:sz w:val="21"/>
                <w:szCs w:val="21"/>
                <w:highlight w:val="none"/>
              </w:rPr>
              <w:t>/L</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85"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restart"/>
            <w:vAlign w:val="center"/>
          </w:tcPr>
          <w:p>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声环境</w:t>
            </w:r>
          </w:p>
        </w:tc>
        <w:tc>
          <w:tcPr>
            <w:tcW w:w="2009"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类昼间</w:t>
            </w:r>
          </w:p>
        </w:tc>
        <w:tc>
          <w:tcPr>
            <w:tcW w:w="953" w:type="dxa"/>
            <w:vAlign w:val="center"/>
          </w:tcPr>
          <w:p>
            <w:pPr>
              <w:spacing w:line="240" w:lineRule="auto"/>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60</w:t>
            </w:r>
          </w:p>
        </w:tc>
        <w:tc>
          <w:tcPr>
            <w:tcW w:w="1157"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487" w:type="dxa"/>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《声环境质量标准》（GB3096-2008）中</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5"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left"/>
              <w:rPr>
                <w:rFonts w:hint="default" w:ascii="Times New Roman" w:hAnsi="Times New Roman" w:eastAsia="宋体" w:cs="Times New Roman"/>
                <w:color w:val="auto"/>
                <w:sz w:val="21"/>
                <w:szCs w:val="21"/>
                <w:highlight w:val="none"/>
              </w:rPr>
            </w:pPr>
          </w:p>
        </w:tc>
        <w:tc>
          <w:tcPr>
            <w:tcW w:w="2009"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类夜间</w:t>
            </w:r>
          </w:p>
        </w:tc>
        <w:tc>
          <w:tcPr>
            <w:tcW w:w="953" w:type="dxa"/>
            <w:vAlign w:val="center"/>
          </w:tcPr>
          <w:p>
            <w:pPr>
              <w:spacing w:line="240" w:lineRule="auto"/>
              <w:jc w:val="center"/>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50</w:t>
            </w:r>
          </w:p>
        </w:tc>
        <w:tc>
          <w:tcPr>
            <w:tcW w:w="1157"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dB（A）</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5"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restart"/>
            <w:vAlign w:val="center"/>
          </w:tcPr>
          <w:p>
            <w:pPr>
              <w:spacing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大气环境</w:t>
            </w:r>
          </w:p>
        </w:tc>
        <w:tc>
          <w:tcPr>
            <w:tcW w:w="2009" w:type="dxa"/>
            <w:vAlign w:val="center"/>
          </w:tcPr>
          <w:p>
            <w:pPr>
              <w:spacing w:line="240" w:lineRule="auto"/>
              <w:jc w:val="center"/>
              <w:rPr>
                <w:rFonts w:hint="default"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NH</w:t>
            </w:r>
            <w:r>
              <w:rPr>
                <w:rFonts w:hint="eastAsia" w:ascii="Times New Roman" w:hAnsi="Times New Roman" w:cs="Times New Roman"/>
                <w:color w:val="auto"/>
                <w:sz w:val="21"/>
                <w:szCs w:val="21"/>
                <w:highlight w:val="none"/>
                <w:vertAlign w:val="subscript"/>
                <w:lang w:val="en-US" w:eastAsia="zh-CN"/>
              </w:rPr>
              <w:t>3</w:t>
            </w:r>
          </w:p>
        </w:tc>
        <w:tc>
          <w:tcPr>
            <w:tcW w:w="953" w:type="dxa"/>
            <w:vAlign w:val="center"/>
          </w:tcPr>
          <w:p>
            <w:pPr>
              <w:spacing w:line="240" w:lineRule="auto"/>
              <w:jc w:val="center"/>
              <w:outlineLvl w:val="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0.20</w:t>
            </w:r>
          </w:p>
        </w:tc>
        <w:tc>
          <w:tcPr>
            <w:tcW w:w="1157" w:type="dxa"/>
            <w:vAlign w:val="center"/>
          </w:tcPr>
          <w:p>
            <w:pPr>
              <w:spacing w:line="240" w:lineRule="auto"/>
              <w:jc w:val="center"/>
              <w:outlineLvl w:val="0"/>
              <w:rPr>
                <w:rFonts w:hint="default" w:ascii="Times New Roman" w:hAnsi="Times New Roman" w:eastAsia="宋体" w:cs="Times New Roman"/>
                <w:color w:val="auto"/>
                <w:sz w:val="21"/>
                <w:szCs w:val="21"/>
                <w:highlight w:val="none"/>
                <w:vertAlign w:val="superscript"/>
                <w:lang w:val="en-US" w:eastAsia="zh-CN"/>
              </w:rPr>
            </w:pPr>
            <w:r>
              <w:rPr>
                <w:rFonts w:hint="default" w:ascii="Times New Roman" w:hAnsi="Times New Roman" w:cs="Times New Roman"/>
                <w:color w:val="auto"/>
                <w:sz w:val="21"/>
                <w:szCs w:val="21"/>
                <w:highlight w:val="none"/>
                <w:lang w:val="en-US" w:eastAsia="zh-CN"/>
              </w:rPr>
              <w:t>mg/m</w:t>
            </w:r>
            <w:r>
              <w:rPr>
                <w:rFonts w:hint="default" w:ascii="Times New Roman" w:hAnsi="Times New Roman" w:cs="Times New Roman"/>
                <w:color w:val="auto"/>
                <w:sz w:val="21"/>
                <w:szCs w:val="21"/>
                <w:highlight w:val="none"/>
                <w:vertAlign w:val="superscript"/>
                <w:lang w:val="en-US" w:eastAsia="zh-CN"/>
              </w:rPr>
              <w:t>3</w:t>
            </w:r>
          </w:p>
        </w:tc>
        <w:tc>
          <w:tcPr>
            <w:tcW w:w="2487" w:type="dxa"/>
            <w:vMerge w:val="restart"/>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《工业企业设计卫生标准》（TJ36-79）表1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55" w:hRule="atLeast"/>
          <w:jc w:val="center"/>
        </w:trPr>
        <w:tc>
          <w:tcPr>
            <w:tcW w:w="1167" w:type="dxa"/>
            <w:vMerge w:val="continue"/>
            <w:vAlign w:val="center"/>
          </w:tcPr>
          <w:p>
            <w:pPr>
              <w:spacing w:line="240" w:lineRule="auto"/>
              <w:jc w:val="left"/>
              <w:rPr>
                <w:rFonts w:hint="default" w:ascii="Times New Roman" w:hAnsi="Times New Roman" w:eastAsia="宋体" w:cs="Times New Roman"/>
                <w:color w:val="auto"/>
                <w:sz w:val="24"/>
                <w:szCs w:val="24"/>
                <w:highlight w:val="none"/>
              </w:rPr>
            </w:pPr>
          </w:p>
        </w:tc>
        <w:tc>
          <w:tcPr>
            <w:tcW w:w="749" w:type="dxa"/>
            <w:vMerge w:val="continue"/>
            <w:vAlign w:val="center"/>
          </w:tcPr>
          <w:p>
            <w:pPr>
              <w:spacing w:line="240" w:lineRule="auto"/>
              <w:jc w:val="center"/>
              <w:rPr>
                <w:rFonts w:hint="default" w:ascii="Times New Roman" w:hAnsi="Times New Roman" w:cs="Times New Roman"/>
                <w:color w:val="auto"/>
                <w:sz w:val="21"/>
                <w:szCs w:val="21"/>
                <w:highlight w:val="none"/>
                <w:lang w:eastAsia="zh-CN"/>
              </w:rPr>
            </w:pPr>
          </w:p>
        </w:tc>
        <w:tc>
          <w:tcPr>
            <w:tcW w:w="2009" w:type="dxa"/>
            <w:vAlign w:val="center"/>
          </w:tcPr>
          <w:p>
            <w:pPr>
              <w:spacing w:line="240" w:lineRule="auto"/>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H</w:t>
            </w:r>
            <w:r>
              <w:rPr>
                <w:rFonts w:hint="eastAsia" w:ascii="Times New Roman" w:hAnsi="Times New Roman" w:cs="Times New Roman"/>
                <w:color w:val="auto"/>
                <w:sz w:val="21"/>
                <w:szCs w:val="21"/>
                <w:highlight w:val="none"/>
                <w:vertAlign w:val="subscript"/>
                <w:lang w:val="en-US" w:eastAsia="zh-CN"/>
              </w:rPr>
              <w:t>2</w:t>
            </w:r>
            <w:r>
              <w:rPr>
                <w:rFonts w:hint="eastAsia" w:ascii="Times New Roman" w:hAnsi="Times New Roman" w:cs="Times New Roman"/>
                <w:color w:val="auto"/>
                <w:sz w:val="21"/>
                <w:szCs w:val="21"/>
                <w:highlight w:val="none"/>
                <w:lang w:val="en-US" w:eastAsia="zh-CN"/>
              </w:rPr>
              <w:t>S</w:t>
            </w:r>
          </w:p>
        </w:tc>
        <w:tc>
          <w:tcPr>
            <w:tcW w:w="953"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0.01</w:t>
            </w:r>
          </w:p>
        </w:tc>
        <w:tc>
          <w:tcPr>
            <w:tcW w:w="1157" w:type="dxa"/>
            <w:vAlign w:val="center"/>
          </w:tcPr>
          <w:p>
            <w:pPr>
              <w:spacing w:line="240" w:lineRule="auto"/>
              <w:jc w:val="center"/>
              <w:outlineLvl w:val="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mg/m</w:t>
            </w:r>
            <w:r>
              <w:rPr>
                <w:rFonts w:hint="default" w:ascii="Times New Roman" w:hAnsi="Times New Roman" w:cs="Times New Roman"/>
                <w:color w:val="auto"/>
                <w:sz w:val="21"/>
                <w:szCs w:val="21"/>
                <w:highlight w:val="none"/>
                <w:vertAlign w:val="superscript"/>
                <w:lang w:val="en-US" w:eastAsia="zh-CN"/>
              </w:rPr>
              <w:t>3</w:t>
            </w:r>
          </w:p>
        </w:tc>
        <w:tc>
          <w:tcPr>
            <w:tcW w:w="2487" w:type="dxa"/>
            <w:vMerge w:val="continue"/>
            <w:vAlign w:val="center"/>
          </w:tcPr>
          <w:p>
            <w:pPr>
              <w:spacing w:line="240" w:lineRule="auto"/>
              <w:jc w:val="center"/>
              <w:rPr>
                <w:rFonts w:hint="default" w:ascii="Times New Roman" w:hAnsi="Times New Roman" w:eastAsia="宋体" w:cs="Times New Roman"/>
                <w:color w:val="auto"/>
                <w:sz w:val="21"/>
                <w:szCs w:val="21"/>
                <w:highlight w:val="none"/>
              </w:rPr>
            </w:pPr>
          </w:p>
        </w:tc>
      </w:tr>
    </w:tbl>
    <w:p>
      <w:pPr>
        <w:spacing w:line="360" w:lineRule="auto"/>
        <w:rPr>
          <w:rFonts w:hint="default" w:ascii="Times New Roman" w:hAnsi="Times New Roman" w:cs="Times New Roman"/>
          <w:color w:val="auto"/>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13" w:name="_Toc515715402"/>
      <w:bookmarkStart w:id="14" w:name="_Toc22775_WPSOffice_Level1"/>
      <w:bookmarkStart w:id="15" w:name="_Toc4949_WPSOffice_Level1"/>
      <w:bookmarkStart w:id="16" w:name="_Toc14337_WPSOffice_Level1"/>
      <w:r>
        <w:rPr>
          <w:rFonts w:hint="default" w:ascii="Times New Roman" w:hAnsi="Times New Roman" w:cs="Times New Roman"/>
          <w:b/>
          <w:color w:val="auto"/>
          <w:kern w:val="0"/>
          <w:sz w:val="30"/>
          <w:szCs w:val="22"/>
          <w:highlight w:val="none"/>
        </w:rPr>
        <w:t>表二 工程与环保建设情况一览表</w:t>
      </w:r>
      <w:bookmarkEnd w:id="13"/>
      <w:bookmarkEnd w:id="14"/>
      <w:bookmarkEnd w:id="15"/>
      <w:bookmarkEnd w:id="16"/>
    </w:p>
    <w:tbl>
      <w:tblPr>
        <w:tblStyle w:val="11"/>
        <w:tblW w:w="1417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427"/>
        <w:gridCol w:w="4069"/>
        <w:gridCol w:w="849"/>
        <w:gridCol w:w="4366"/>
        <w:gridCol w:w="624"/>
        <w:gridCol w:w="1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 w:hRule="atLeast"/>
          <w:tblHeader/>
          <w:jc w:val="center"/>
        </w:trPr>
        <w:tc>
          <w:tcPr>
            <w:tcW w:w="876" w:type="dxa"/>
            <w:vAlign w:val="center"/>
          </w:tcPr>
          <w:p>
            <w:pPr>
              <w:widowControl/>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工程分类</w:t>
            </w:r>
          </w:p>
        </w:tc>
        <w:tc>
          <w:tcPr>
            <w:tcW w:w="1427" w:type="dxa"/>
            <w:vAlign w:val="center"/>
          </w:tcPr>
          <w:p>
            <w:pPr>
              <w:widowControl/>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建设名称</w:t>
            </w:r>
          </w:p>
        </w:tc>
        <w:tc>
          <w:tcPr>
            <w:tcW w:w="4069"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设计情况（环评）</w:t>
            </w:r>
          </w:p>
        </w:tc>
        <w:tc>
          <w:tcPr>
            <w:tcW w:w="5839" w:type="dxa"/>
            <w:gridSpan w:val="3"/>
            <w:vAlign w:val="center"/>
          </w:tcPr>
          <w:p>
            <w:pPr>
              <w:spacing w:line="360" w:lineRule="auto"/>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Cs/>
                <w:color w:val="auto"/>
                <w:sz w:val="24"/>
                <w:szCs w:val="24"/>
                <w:highlight w:val="none"/>
              </w:rPr>
              <w:t>实际建设情况</w:t>
            </w:r>
          </w:p>
        </w:tc>
        <w:tc>
          <w:tcPr>
            <w:tcW w:w="1963" w:type="dxa"/>
            <w:vAlign w:val="center"/>
          </w:tcPr>
          <w:p>
            <w:pPr>
              <w:spacing w:line="360" w:lineRule="auto"/>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76" w:type="dxa"/>
            <w:vMerge w:val="restart"/>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主体工程</w:t>
            </w: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综合楼</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2层，占地面积30*7.8m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，砖混结构</w:t>
            </w:r>
          </w:p>
        </w:tc>
        <w:tc>
          <w:tcPr>
            <w:tcW w:w="5839" w:type="dxa"/>
            <w:gridSpan w:val="3"/>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与综合处理间合建</w:t>
            </w:r>
          </w:p>
        </w:tc>
        <w:tc>
          <w:tcPr>
            <w:tcW w:w="1963" w:type="dxa"/>
            <w:vMerge w:val="restart"/>
            <w:vAlign w:val="center"/>
          </w:tcPr>
          <w:p>
            <w:pPr>
              <w:spacing w:line="360" w:lineRule="auto"/>
              <w:jc w:val="center"/>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综合楼与综合处理间合建，综合处理间内设办公室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Merge w:val="restart"/>
            <w:vAlign w:val="center"/>
          </w:tcPr>
          <w:p>
            <w:pPr>
              <w:spacing w:line="360" w:lineRule="auto"/>
              <w:jc w:val="center"/>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综合处理间</w:t>
            </w:r>
          </w:p>
        </w:tc>
        <w:tc>
          <w:tcPr>
            <w:tcW w:w="4069" w:type="dxa"/>
            <w:vMerge w:val="restart"/>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2层，占地面积66×24m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，砖混结构（内设粗格栅间及提升泵站、细格栅及旋流沉砂池间、CASS反应池间、紫外线消毒间、污泥储池、污泥脱水间、鼓风机房、配电间等）</w:t>
            </w:r>
          </w:p>
        </w:tc>
        <w:tc>
          <w:tcPr>
            <w:tcW w:w="849" w:type="dxa"/>
            <w:vMerge w:val="restart"/>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综合楼及综合处理间合建，共2层，占地面积921.7m</w:t>
            </w:r>
            <w:r>
              <w:rPr>
                <w:rFonts w:hint="eastAsia" w:cs="Times New Roman"/>
                <w:color w:val="auto"/>
                <w:sz w:val="24"/>
                <w:szCs w:val="24"/>
                <w:highlight w:val="none"/>
                <w:vertAlign w:val="superscript"/>
                <w:lang w:val="en-US" w:eastAsia="zh-CN"/>
              </w:rPr>
              <w:t>2</w:t>
            </w: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预处理间（粗格栅、细格栅、提升泵站、旋流沉砂池）12m×11m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center"/>
              <w:rPr>
                <w:rFonts w:hint="default" w:ascii="Times New Roman" w:hAnsi="Times New Roman" w:eastAsia="宋体" w:cs="Times New Roman"/>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color w:val="auto"/>
                <w:highlight w:val="none"/>
              </w:rPr>
            </w:pPr>
          </w:p>
        </w:tc>
        <w:tc>
          <w:tcPr>
            <w:tcW w:w="1427" w:type="dxa"/>
            <w:vMerge w:val="continue"/>
            <w:vAlign w:val="center"/>
          </w:tcPr>
          <w:p>
            <w:pPr>
              <w:spacing w:line="360" w:lineRule="auto"/>
              <w:jc w:val="both"/>
              <w:rPr>
                <w:color w:val="auto"/>
                <w:highlight w:val="none"/>
              </w:rPr>
            </w:pPr>
          </w:p>
        </w:tc>
        <w:tc>
          <w:tcPr>
            <w:tcW w:w="4069" w:type="dxa"/>
            <w:vMerge w:val="continue"/>
            <w:vAlign w:val="center"/>
          </w:tcPr>
          <w:p>
            <w:pPr>
              <w:spacing w:line="360" w:lineRule="auto"/>
              <w:jc w:val="both"/>
              <w:rPr>
                <w:color w:val="auto"/>
                <w:highlight w:val="none"/>
              </w:rPr>
            </w:pPr>
          </w:p>
        </w:tc>
        <w:tc>
          <w:tcPr>
            <w:tcW w:w="849" w:type="dxa"/>
            <w:vMerge w:val="continue"/>
            <w:vAlign w:val="center"/>
          </w:tcPr>
          <w:p>
            <w:pPr>
              <w:spacing w:line="360" w:lineRule="auto"/>
              <w:jc w:val="both"/>
              <w:rPr>
                <w:color w:val="auto"/>
                <w:highlight w:val="none"/>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鼓风机房6.5m×11m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配电间0.5m×11m等</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污泥脱水间11.5m×5.8m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中控室4.2m×5.8m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总电控制室6.3m×5.8m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污泥储罐及紫外线消毒间3m×19.8m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CASS反应池2座×7.5m×19.2m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1层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化验室6m×4.6m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2层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危险废物暂存间5.5m×4.6m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2层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办公室4.2m×4.6m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2层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 w:hRule="atLeast"/>
          <w:jc w:val="center"/>
        </w:trPr>
        <w:tc>
          <w:tcPr>
            <w:tcW w:w="876" w:type="dxa"/>
            <w:vMerge w:val="continue"/>
            <w:vAlign w:val="center"/>
          </w:tcPr>
          <w:p>
            <w:pPr>
              <w:spacing w:line="360" w:lineRule="auto"/>
              <w:jc w:val="both"/>
              <w:rPr>
                <w:rFonts w:hint="eastAsia" w:cs="Times New Roman"/>
                <w:color w:val="auto"/>
                <w:sz w:val="24"/>
                <w:szCs w:val="24"/>
                <w:highlight w:val="none"/>
                <w:lang w:val="en-US" w:eastAsia="zh-CN"/>
              </w:rPr>
            </w:pPr>
          </w:p>
        </w:tc>
        <w:tc>
          <w:tcPr>
            <w:tcW w:w="1427" w:type="dxa"/>
            <w:vMerge w:val="continue"/>
            <w:vAlign w:val="center"/>
          </w:tcPr>
          <w:p>
            <w:pPr>
              <w:spacing w:line="360" w:lineRule="auto"/>
              <w:jc w:val="both"/>
              <w:rPr>
                <w:rFonts w:hint="eastAsia" w:cs="Times New Roman"/>
                <w:color w:val="auto"/>
                <w:sz w:val="24"/>
                <w:szCs w:val="24"/>
                <w:highlight w:val="none"/>
                <w:lang w:val="en-US" w:eastAsia="zh-CN"/>
              </w:rPr>
            </w:pPr>
          </w:p>
        </w:tc>
        <w:tc>
          <w:tcPr>
            <w:tcW w:w="4069" w:type="dxa"/>
            <w:vMerge w:val="continue"/>
            <w:vAlign w:val="center"/>
          </w:tcPr>
          <w:p>
            <w:pPr>
              <w:spacing w:line="360" w:lineRule="auto"/>
              <w:jc w:val="both"/>
              <w:rPr>
                <w:rFonts w:hint="eastAsia" w:cs="Times New Roman"/>
                <w:color w:val="auto"/>
                <w:sz w:val="24"/>
                <w:szCs w:val="24"/>
                <w:highlight w:val="none"/>
                <w:lang w:val="en-US" w:eastAsia="zh-CN"/>
              </w:rPr>
            </w:pPr>
          </w:p>
        </w:tc>
        <w:tc>
          <w:tcPr>
            <w:tcW w:w="849" w:type="dxa"/>
            <w:vMerge w:val="continue"/>
            <w:vAlign w:val="center"/>
          </w:tcPr>
          <w:p>
            <w:pPr>
              <w:spacing w:line="360" w:lineRule="auto"/>
              <w:jc w:val="both"/>
              <w:rPr>
                <w:rFonts w:hint="eastAsia" w:cs="Times New Roman"/>
                <w:color w:val="auto"/>
                <w:sz w:val="24"/>
                <w:szCs w:val="24"/>
                <w:highlight w:val="none"/>
                <w:lang w:val="en-US" w:eastAsia="zh-CN"/>
              </w:rPr>
            </w:pPr>
          </w:p>
        </w:tc>
        <w:tc>
          <w:tcPr>
            <w:tcW w:w="4366"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会议室6.3m×4.6m</w:t>
            </w:r>
          </w:p>
        </w:tc>
        <w:tc>
          <w:tcPr>
            <w:tcW w:w="624" w:type="dxa"/>
            <w:vAlign w:val="center"/>
          </w:tcPr>
          <w:p>
            <w:pPr>
              <w:spacing w:line="360" w:lineRule="auto"/>
              <w:jc w:val="both"/>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2层</w:t>
            </w:r>
          </w:p>
        </w:tc>
        <w:tc>
          <w:tcPr>
            <w:tcW w:w="1963" w:type="dxa"/>
            <w:vMerge w:val="continue"/>
            <w:vAlign w:val="center"/>
          </w:tcPr>
          <w:p>
            <w:pPr>
              <w:spacing w:line="360" w:lineRule="auto"/>
              <w:jc w:val="both"/>
              <w:rPr>
                <w:rFonts w:hint="eastAsia"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76" w:type="dxa"/>
            <w:vMerge w:val="restart"/>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公用工程</w:t>
            </w: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供水</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厂区用水由</w:t>
            </w:r>
            <w:r>
              <w:rPr>
                <w:rFonts w:hint="default" w:ascii="Times New Roman" w:hAnsi="Times New Roman" w:eastAsia="宋体" w:cs="Times New Roman"/>
                <w:color w:val="auto"/>
                <w:sz w:val="24"/>
                <w:szCs w:val="24"/>
                <w:highlight w:val="none"/>
                <w:lang w:eastAsia="zh-CN"/>
              </w:rPr>
              <w:t>市政自来水管网供给。</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厂区用水由</w:t>
            </w:r>
            <w:r>
              <w:rPr>
                <w:rFonts w:hint="default" w:ascii="Times New Roman" w:hAnsi="Times New Roman" w:eastAsia="宋体" w:cs="Times New Roman"/>
                <w:color w:val="auto"/>
                <w:sz w:val="24"/>
                <w:szCs w:val="24"/>
                <w:highlight w:val="none"/>
                <w:lang w:eastAsia="zh-CN"/>
              </w:rPr>
              <w:t>市政自来水管网供给。</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6"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排水</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污水处理厂产生的废水进入粗格栅进水井，然后与进厂污水一并处理</w:t>
            </w:r>
            <w:r>
              <w:rPr>
                <w:rFonts w:hint="default" w:ascii="Times New Roman" w:hAnsi="Times New Roman" w:eastAsia="宋体" w:cs="Times New Roman"/>
                <w:color w:val="auto"/>
                <w:sz w:val="24"/>
                <w:szCs w:val="24"/>
                <w:highlight w:val="none"/>
                <w:lang w:eastAsia="zh-CN"/>
              </w:rPr>
              <w:t>。</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污水处理厂产生的废水进入粗格栅进水井，然后与进厂污水一并处理</w:t>
            </w:r>
            <w:r>
              <w:rPr>
                <w:rFonts w:hint="default" w:ascii="Times New Roman" w:hAnsi="Times New Roman" w:eastAsia="宋体" w:cs="Times New Roman"/>
                <w:color w:val="auto"/>
                <w:sz w:val="24"/>
                <w:szCs w:val="24"/>
                <w:highlight w:val="none"/>
                <w:lang w:eastAsia="zh-CN"/>
              </w:rPr>
              <w:t>。</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供热</w:t>
            </w:r>
          </w:p>
        </w:tc>
        <w:tc>
          <w:tcPr>
            <w:tcW w:w="4069" w:type="dxa"/>
            <w:vAlign w:val="center"/>
          </w:tcPr>
          <w:p>
            <w:pPr>
              <w:spacing w:line="360" w:lineRule="auto"/>
              <w:jc w:val="both"/>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农场集中供热供给。</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农场集中供热供给。</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供电</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由</w:t>
            </w:r>
            <w:r>
              <w:rPr>
                <w:rFonts w:hint="default" w:ascii="Times New Roman" w:hAnsi="Times New Roman" w:eastAsia="宋体" w:cs="Times New Roman"/>
                <w:color w:val="auto"/>
                <w:sz w:val="24"/>
                <w:szCs w:val="24"/>
                <w:highlight w:val="none"/>
                <w:lang w:eastAsia="zh-CN"/>
              </w:rPr>
              <w:t>当地电业部门</w:t>
            </w:r>
            <w:r>
              <w:rPr>
                <w:rFonts w:hint="default" w:ascii="Times New Roman" w:hAnsi="Times New Roman" w:eastAsia="宋体" w:cs="Times New Roman"/>
                <w:color w:val="auto"/>
                <w:sz w:val="24"/>
                <w:szCs w:val="24"/>
                <w:highlight w:val="none"/>
              </w:rPr>
              <w:t>供电，</w:t>
            </w:r>
            <w:r>
              <w:rPr>
                <w:rFonts w:hint="eastAsia" w:cs="Times New Roman"/>
                <w:color w:val="auto"/>
                <w:sz w:val="24"/>
                <w:szCs w:val="24"/>
                <w:highlight w:val="none"/>
                <w:lang w:eastAsia="zh-CN"/>
              </w:rPr>
              <w:t>在厂内建设一座</w:t>
            </w:r>
            <w:r>
              <w:rPr>
                <w:rFonts w:hint="eastAsia" w:cs="Times New Roman"/>
                <w:color w:val="auto"/>
                <w:sz w:val="24"/>
                <w:szCs w:val="24"/>
                <w:highlight w:val="none"/>
                <w:lang w:val="en-US" w:eastAsia="zh-CN"/>
              </w:rPr>
              <w:t>10KV的箱式变电所</w:t>
            </w:r>
            <w:r>
              <w:rPr>
                <w:rFonts w:hint="default" w:ascii="Times New Roman" w:hAnsi="Times New Roman" w:eastAsia="宋体" w:cs="Times New Roman"/>
                <w:color w:val="auto"/>
                <w:sz w:val="24"/>
                <w:szCs w:val="24"/>
                <w:highlight w:val="none"/>
                <w:lang w:eastAsia="zh-CN"/>
              </w:rPr>
              <w:t>。</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由</w:t>
            </w:r>
            <w:r>
              <w:rPr>
                <w:rFonts w:hint="default" w:ascii="Times New Roman" w:hAnsi="Times New Roman" w:eastAsia="宋体" w:cs="Times New Roman"/>
                <w:color w:val="auto"/>
                <w:sz w:val="24"/>
                <w:szCs w:val="24"/>
                <w:highlight w:val="none"/>
                <w:lang w:eastAsia="zh-CN"/>
              </w:rPr>
              <w:t>当地电业部门</w:t>
            </w:r>
            <w:r>
              <w:rPr>
                <w:rFonts w:hint="default" w:ascii="Times New Roman" w:hAnsi="Times New Roman" w:eastAsia="宋体" w:cs="Times New Roman"/>
                <w:color w:val="auto"/>
                <w:sz w:val="24"/>
                <w:szCs w:val="24"/>
                <w:highlight w:val="none"/>
              </w:rPr>
              <w:t>供电，</w:t>
            </w:r>
            <w:r>
              <w:rPr>
                <w:rFonts w:hint="eastAsia" w:cs="Times New Roman"/>
                <w:color w:val="auto"/>
                <w:sz w:val="24"/>
                <w:szCs w:val="24"/>
                <w:highlight w:val="none"/>
                <w:lang w:eastAsia="zh-CN"/>
              </w:rPr>
              <w:t>在厂内建设一座</w:t>
            </w:r>
            <w:r>
              <w:rPr>
                <w:rFonts w:hint="eastAsia" w:cs="Times New Roman"/>
                <w:color w:val="auto"/>
                <w:sz w:val="24"/>
                <w:szCs w:val="24"/>
                <w:highlight w:val="none"/>
                <w:lang w:val="en-US" w:eastAsia="zh-CN"/>
              </w:rPr>
              <w:t>10KV的箱式变电所</w:t>
            </w:r>
            <w:r>
              <w:rPr>
                <w:rFonts w:hint="default" w:ascii="Times New Roman" w:hAnsi="Times New Roman" w:eastAsia="宋体" w:cs="Times New Roman"/>
                <w:color w:val="auto"/>
                <w:sz w:val="24"/>
                <w:szCs w:val="24"/>
                <w:highlight w:val="none"/>
                <w:lang w:eastAsia="zh-CN"/>
              </w:rPr>
              <w:t>。</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jc w:val="center"/>
        </w:trPr>
        <w:tc>
          <w:tcPr>
            <w:tcW w:w="876" w:type="dxa"/>
            <w:vMerge w:val="restart"/>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环保工程</w:t>
            </w:r>
          </w:p>
        </w:tc>
        <w:tc>
          <w:tcPr>
            <w:tcW w:w="1427" w:type="dxa"/>
            <w:vMerge w:val="restart"/>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废气</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在综合处理间设置光催化氧化除臭装置。</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在预处理间设置</w:t>
            </w:r>
            <w:r>
              <w:rPr>
                <w:rFonts w:hint="eastAsia" w:cs="Times New Roman"/>
                <w:color w:val="auto"/>
                <w:sz w:val="24"/>
                <w:szCs w:val="24"/>
                <w:highlight w:val="none"/>
                <w:lang w:val="en-US" w:eastAsia="zh-CN"/>
              </w:rPr>
              <w:t>1套</w:t>
            </w:r>
            <w:r>
              <w:rPr>
                <w:rFonts w:hint="eastAsia" w:cs="Times New Roman"/>
                <w:color w:val="auto"/>
                <w:sz w:val="24"/>
                <w:szCs w:val="24"/>
                <w:highlight w:val="none"/>
                <w:lang w:eastAsia="zh-CN"/>
              </w:rPr>
              <w:t>光催化氧化+活性炭除臭装置，恶臭气体经处理后由</w:t>
            </w:r>
            <w:r>
              <w:rPr>
                <w:rFonts w:hint="eastAsia" w:cs="Times New Roman"/>
                <w:color w:val="auto"/>
                <w:sz w:val="24"/>
                <w:szCs w:val="24"/>
                <w:highlight w:val="none"/>
                <w:lang w:val="en-US" w:eastAsia="zh-CN"/>
              </w:rPr>
              <w:t>15.6m高排气筒排放</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CASS反应池、污泥脱水间分别</w:t>
            </w:r>
            <w:r>
              <w:rPr>
                <w:rFonts w:hint="eastAsia" w:cs="Times New Roman"/>
                <w:color w:val="auto"/>
                <w:sz w:val="24"/>
                <w:szCs w:val="24"/>
                <w:highlight w:val="none"/>
                <w:lang w:eastAsia="zh-CN"/>
              </w:rPr>
              <w:t>设置</w:t>
            </w:r>
            <w:r>
              <w:rPr>
                <w:rFonts w:hint="eastAsia" w:cs="Times New Roman"/>
                <w:color w:val="auto"/>
                <w:sz w:val="24"/>
                <w:szCs w:val="24"/>
                <w:highlight w:val="none"/>
                <w:lang w:val="en-US" w:eastAsia="zh-CN"/>
              </w:rPr>
              <w:t>1套</w:t>
            </w:r>
            <w:r>
              <w:rPr>
                <w:rFonts w:hint="eastAsia" w:cs="Times New Roman"/>
                <w:color w:val="auto"/>
                <w:sz w:val="24"/>
                <w:szCs w:val="24"/>
                <w:highlight w:val="none"/>
                <w:lang w:eastAsia="zh-CN"/>
              </w:rPr>
              <w:t>光催化氧化+活性炭除臭装置，恶臭气体经处理后由一座</w:t>
            </w:r>
            <w:r>
              <w:rPr>
                <w:rFonts w:hint="eastAsia" w:cs="Times New Roman"/>
                <w:color w:val="auto"/>
                <w:sz w:val="24"/>
                <w:szCs w:val="24"/>
                <w:highlight w:val="none"/>
                <w:lang w:val="en-US" w:eastAsia="zh-CN"/>
              </w:rPr>
              <w:t>15.6m高排气筒排放。</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4069" w:type="dxa"/>
            <w:vAlign w:val="center"/>
          </w:tcPr>
          <w:p>
            <w:pPr>
              <w:spacing w:line="360" w:lineRule="auto"/>
              <w:jc w:val="both"/>
              <w:rPr>
                <w:rFonts w:hint="eastAsia" w:cs="Times New Roman"/>
                <w:color w:val="auto"/>
                <w:sz w:val="24"/>
                <w:szCs w:val="24"/>
                <w:highlight w:val="none"/>
                <w:lang w:eastAsia="zh-CN"/>
              </w:rPr>
            </w:pPr>
            <w:r>
              <w:rPr>
                <w:rFonts w:hint="eastAsia" w:cs="Times New Roman"/>
                <w:color w:val="auto"/>
                <w:sz w:val="24"/>
                <w:szCs w:val="24"/>
                <w:highlight w:val="none"/>
                <w:lang w:eastAsia="zh-CN"/>
              </w:rPr>
              <w:t>紫外线消毒间设置轴流通风机，保持室内空气清新。</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紫外线消毒间设置轴流通风机，保持室内空气清新。</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废水</w:t>
            </w:r>
          </w:p>
        </w:tc>
        <w:tc>
          <w:tcPr>
            <w:tcW w:w="4069" w:type="dxa"/>
            <w:vAlign w:val="center"/>
          </w:tcPr>
          <w:p>
            <w:pPr>
              <w:spacing w:line="360" w:lineRule="auto"/>
              <w:jc w:val="both"/>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污水处理厂产生的废水进入粗格栅进水井，然后与进厂污水一并处理</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污水处理厂采用</w:t>
            </w:r>
            <w:r>
              <w:rPr>
                <w:rFonts w:hint="eastAsia" w:cs="Times New Roman"/>
                <w:color w:val="auto"/>
                <w:sz w:val="24"/>
                <w:szCs w:val="24"/>
                <w:highlight w:val="none"/>
                <w:lang w:val="en-US" w:eastAsia="zh-CN"/>
              </w:rPr>
              <w:t>CASS处理工艺处理后排放。</w:t>
            </w:r>
          </w:p>
        </w:tc>
        <w:tc>
          <w:tcPr>
            <w:tcW w:w="5839" w:type="dxa"/>
            <w:gridSpan w:val="3"/>
            <w:vAlign w:val="center"/>
          </w:tcPr>
          <w:p>
            <w:pPr>
              <w:spacing w:line="360" w:lineRule="auto"/>
              <w:jc w:val="both"/>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污水处理厂产生的废水进入粗格栅进水井，然后与进厂污水一并处理</w:t>
            </w:r>
            <w:r>
              <w:rPr>
                <w:rFonts w:hint="default" w:ascii="Times New Roman" w:hAnsi="Times New Roman" w:eastAsia="宋体" w:cs="Times New Roman"/>
                <w:color w:val="auto"/>
                <w:sz w:val="24"/>
                <w:szCs w:val="24"/>
                <w:highlight w:val="none"/>
                <w:lang w:eastAsia="zh-CN"/>
              </w:rPr>
              <w:t>。</w:t>
            </w:r>
            <w:r>
              <w:rPr>
                <w:rFonts w:hint="eastAsia" w:cs="Times New Roman"/>
                <w:color w:val="auto"/>
                <w:sz w:val="24"/>
                <w:szCs w:val="24"/>
                <w:highlight w:val="none"/>
                <w:lang w:eastAsia="zh-CN"/>
              </w:rPr>
              <w:t>污水处理厂采用</w:t>
            </w:r>
            <w:r>
              <w:rPr>
                <w:rFonts w:hint="eastAsia" w:cs="Times New Roman"/>
                <w:color w:val="auto"/>
                <w:sz w:val="24"/>
                <w:szCs w:val="24"/>
                <w:highlight w:val="none"/>
                <w:lang w:val="en-US" w:eastAsia="zh-CN"/>
              </w:rPr>
              <w:t>CASS处理工艺，处理后的尾水排入农场东部护城河。</w:t>
            </w:r>
          </w:p>
        </w:tc>
        <w:tc>
          <w:tcPr>
            <w:tcW w:w="1963" w:type="dxa"/>
            <w:vAlign w:val="center"/>
          </w:tcPr>
          <w:p>
            <w:pPr>
              <w:spacing w:line="360" w:lineRule="auto"/>
              <w:jc w:val="center"/>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噪声</w:t>
            </w:r>
          </w:p>
        </w:tc>
        <w:tc>
          <w:tcPr>
            <w:tcW w:w="4069" w:type="dxa"/>
            <w:vAlign w:val="center"/>
          </w:tcPr>
          <w:p>
            <w:pPr>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选用低噪声设备，对高噪声设备采取隔音减振、加强绿化等措施</w:t>
            </w:r>
            <w:r>
              <w:rPr>
                <w:rFonts w:hint="eastAsia" w:cs="Times New Roman"/>
                <w:color w:val="auto"/>
                <w:sz w:val="24"/>
                <w:szCs w:val="24"/>
                <w:highlight w:val="none"/>
                <w:lang w:eastAsia="zh-CN"/>
              </w:rPr>
              <w:t>。</w:t>
            </w:r>
          </w:p>
        </w:tc>
        <w:tc>
          <w:tcPr>
            <w:tcW w:w="5839" w:type="dxa"/>
            <w:gridSpan w:val="3"/>
            <w:vAlign w:val="center"/>
          </w:tcPr>
          <w:p>
            <w:pPr>
              <w:spacing w:line="360" w:lineRule="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本项目选取的均为</w:t>
            </w:r>
            <w:r>
              <w:rPr>
                <w:rFonts w:hint="default" w:ascii="Times New Roman" w:hAnsi="Times New Roman" w:eastAsia="宋体" w:cs="Times New Roman"/>
                <w:color w:val="auto"/>
                <w:sz w:val="24"/>
                <w:szCs w:val="24"/>
                <w:highlight w:val="none"/>
              </w:rPr>
              <w:t>低噪声设备，</w:t>
            </w:r>
            <w:r>
              <w:rPr>
                <w:rFonts w:hint="eastAsia" w:cs="Times New Roman"/>
                <w:color w:val="auto"/>
                <w:sz w:val="24"/>
                <w:szCs w:val="24"/>
                <w:highlight w:val="none"/>
                <w:lang w:eastAsia="zh-CN"/>
              </w:rPr>
              <w:t>鼓风机</w:t>
            </w:r>
            <w:r>
              <w:rPr>
                <w:rFonts w:hint="eastAsia" w:cs="Times New Roman"/>
                <w:color w:val="auto"/>
                <w:sz w:val="24"/>
                <w:szCs w:val="24"/>
                <w:highlight w:val="none"/>
                <w:lang w:val="en-US" w:eastAsia="zh-CN"/>
              </w:rPr>
              <w:t>3台，分别设置入口消音器及出口消音器共6个</w:t>
            </w:r>
            <w:r>
              <w:rPr>
                <w:rFonts w:hint="eastAsia" w:cs="Times New Roman"/>
                <w:color w:val="auto"/>
                <w:sz w:val="24"/>
                <w:szCs w:val="24"/>
                <w:highlight w:val="none"/>
                <w:lang w:eastAsia="zh-CN"/>
              </w:rPr>
              <w:t>；污泥回流泵</w:t>
            </w:r>
            <w:r>
              <w:rPr>
                <w:rFonts w:hint="eastAsia" w:cs="Times New Roman"/>
                <w:color w:val="auto"/>
                <w:sz w:val="24"/>
                <w:szCs w:val="24"/>
                <w:highlight w:val="none"/>
                <w:lang w:val="en-US" w:eastAsia="zh-CN"/>
              </w:rPr>
              <w:t>3台</w:t>
            </w:r>
            <w:r>
              <w:rPr>
                <w:rFonts w:hint="eastAsia" w:cs="Times New Roman"/>
                <w:color w:val="auto"/>
                <w:sz w:val="24"/>
                <w:szCs w:val="24"/>
                <w:highlight w:val="none"/>
                <w:lang w:eastAsia="zh-CN"/>
              </w:rPr>
              <w:t>、剩余污泥泵</w:t>
            </w:r>
            <w:r>
              <w:rPr>
                <w:rFonts w:hint="eastAsia" w:cs="Times New Roman"/>
                <w:color w:val="auto"/>
                <w:sz w:val="24"/>
                <w:szCs w:val="24"/>
                <w:highlight w:val="none"/>
                <w:lang w:val="en-US" w:eastAsia="zh-CN"/>
              </w:rPr>
              <w:t>3台、污水泵2台、潜水排污泵4台均设置减震基座；</w:t>
            </w:r>
            <w:r>
              <w:rPr>
                <w:rFonts w:hint="eastAsia" w:cs="Times New Roman"/>
                <w:color w:val="auto"/>
                <w:sz w:val="24"/>
                <w:szCs w:val="24"/>
                <w:highlight w:val="none"/>
                <w:lang w:eastAsia="zh-CN"/>
              </w:rPr>
              <w:t>水泵等高噪声设备设置减震基座、风机设置消声器。</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 w:hRule="atLeast"/>
          <w:jc w:val="center"/>
        </w:trPr>
        <w:tc>
          <w:tcPr>
            <w:tcW w:w="876" w:type="dxa"/>
            <w:vMerge w:val="continue"/>
            <w:vAlign w:val="center"/>
          </w:tcPr>
          <w:p>
            <w:pPr>
              <w:spacing w:line="360" w:lineRule="auto"/>
              <w:jc w:val="center"/>
              <w:rPr>
                <w:rFonts w:hint="default" w:ascii="Times New Roman" w:hAnsi="Times New Roman" w:eastAsia="宋体" w:cs="Times New Roman"/>
                <w:color w:val="auto"/>
                <w:sz w:val="24"/>
                <w:szCs w:val="24"/>
                <w:highlight w:val="none"/>
              </w:rPr>
            </w:pPr>
          </w:p>
        </w:tc>
        <w:tc>
          <w:tcPr>
            <w:tcW w:w="1427" w:type="dxa"/>
            <w:vAlign w:val="center"/>
          </w:tcPr>
          <w:p>
            <w:pPr>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固体废物</w:t>
            </w:r>
          </w:p>
        </w:tc>
        <w:tc>
          <w:tcPr>
            <w:tcW w:w="4069" w:type="dxa"/>
            <w:vAlign w:val="center"/>
          </w:tcPr>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w:t>
            </w:r>
            <w:r>
              <w:rPr>
                <w:rFonts w:hint="eastAsia" w:ascii="Times New Roman" w:hAnsi="Times New Roman" w:eastAsia="宋体" w:cs="Times New Roman"/>
                <w:color w:val="auto"/>
                <w:sz w:val="24"/>
                <w:szCs w:val="24"/>
                <w:highlight w:val="none"/>
                <w:lang w:eastAsia="zh-CN"/>
              </w:rPr>
              <w:t>污泥经脱水后送至指定的地点填埋</w:t>
            </w:r>
            <w:r>
              <w:rPr>
                <w:rFonts w:hint="default" w:ascii="Times New Roman" w:hAnsi="Times New Roman" w:eastAsia="宋体" w:cs="Times New Roman"/>
                <w:color w:val="auto"/>
                <w:sz w:val="24"/>
                <w:szCs w:val="24"/>
                <w:highlight w:val="none"/>
                <w:lang w:eastAsia="zh-CN"/>
              </w:rPr>
              <w:t>。</w:t>
            </w:r>
          </w:p>
        </w:tc>
        <w:tc>
          <w:tcPr>
            <w:tcW w:w="5839" w:type="dxa"/>
            <w:gridSpan w:val="3"/>
            <w:vAlign w:val="center"/>
          </w:tcPr>
          <w:p>
            <w:pPr>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①</w:t>
            </w:r>
            <w:r>
              <w:rPr>
                <w:rFonts w:hint="default" w:ascii="Times New Roman" w:hAnsi="Times New Roman" w:cs="Times New Roman"/>
                <w:color w:val="auto"/>
                <w:sz w:val="24"/>
                <w:szCs w:val="28"/>
                <w:highlight w:val="none"/>
              </w:rPr>
              <w:t>污泥脱水达标后运送至</w:t>
            </w:r>
            <w:r>
              <w:rPr>
                <w:rFonts w:hint="eastAsia" w:cs="Times New Roman"/>
                <w:color w:val="auto"/>
                <w:sz w:val="24"/>
                <w:szCs w:val="28"/>
                <w:highlight w:val="none"/>
                <w:lang w:eastAsia="zh-CN"/>
              </w:rPr>
              <w:t>黑龙江省建三江农垦华能热力有限公司焚烧处理</w:t>
            </w:r>
            <w:r>
              <w:rPr>
                <w:rFonts w:hint="default" w:ascii="Times New Roman" w:hAnsi="Times New Roman" w:cs="Times New Roman"/>
                <w:color w:val="auto"/>
                <w:sz w:val="24"/>
                <w:szCs w:val="28"/>
                <w:highlight w:val="none"/>
              </w:rPr>
              <w:t>；</w:t>
            </w:r>
          </w:p>
          <w:p>
            <w:pPr>
              <w:spacing w:line="360" w:lineRule="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②</w:t>
            </w:r>
            <w:r>
              <w:rPr>
                <w:rFonts w:hint="default" w:ascii="Times New Roman" w:hAnsi="Times New Roman" w:eastAsia="宋体" w:cs="Times New Roman"/>
                <w:color w:val="auto"/>
                <w:sz w:val="24"/>
                <w:szCs w:val="24"/>
                <w:highlight w:val="none"/>
                <w:lang w:eastAsia="zh-CN"/>
              </w:rPr>
              <w:t>员工生活垃圾集中收由环卫部门清运处置</w:t>
            </w:r>
            <w:r>
              <w:rPr>
                <w:rFonts w:hint="eastAsia" w:cs="Times New Roman"/>
                <w:color w:val="auto"/>
                <w:sz w:val="24"/>
                <w:szCs w:val="24"/>
                <w:highlight w:val="none"/>
                <w:lang w:eastAsia="zh-CN"/>
              </w:rPr>
              <w:t>；</w:t>
            </w:r>
          </w:p>
          <w:p>
            <w:pPr>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③实验室废液为危险废物，暂存于危险废物暂存间，定期交由</w:t>
            </w:r>
            <w:r>
              <w:rPr>
                <w:rFonts w:hint="eastAsia" w:cs="Times New Roman"/>
                <w:color w:val="auto"/>
                <w:sz w:val="24"/>
                <w:szCs w:val="24"/>
                <w:highlight w:val="none"/>
                <w:lang w:val="en-US" w:eastAsia="zh-CN"/>
              </w:rPr>
              <w:t>哈尔滨国环医疗固体废物无害化集中处置中心有限公司</w:t>
            </w:r>
            <w:r>
              <w:rPr>
                <w:rFonts w:hint="eastAsia" w:ascii="Times New Roman" w:hAnsi="Times New Roman" w:eastAsia="宋体" w:cs="Times New Roman"/>
                <w:color w:val="auto"/>
                <w:sz w:val="24"/>
                <w:szCs w:val="24"/>
                <w:highlight w:val="none"/>
                <w:lang w:val="en-US" w:eastAsia="zh-CN"/>
              </w:rPr>
              <w:t>处理</w:t>
            </w:r>
            <w:r>
              <w:rPr>
                <w:rFonts w:hint="eastAsia" w:cs="Times New Roman"/>
                <w:color w:val="auto"/>
                <w:sz w:val="24"/>
                <w:szCs w:val="24"/>
                <w:highlight w:val="none"/>
                <w:lang w:val="en-US" w:eastAsia="zh-CN"/>
              </w:rPr>
              <w:t>；</w:t>
            </w:r>
          </w:p>
          <w:p>
            <w:pPr>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④栅渣由市政统一清运。</w:t>
            </w:r>
          </w:p>
        </w:tc>
        <w:tc>
          <w:tcPr>
            <w:tcW w:w="1963" w:type="dxa"/>
            <w:vAlign w:val="center"/>
          </w:tcPr>
          <w:p>
            <w:pPr>
              <w:spacing w:line="360" w:lineRule="auto"/>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8"/>
                <w:highlight w:val="none"/>
                <w:lang w:eastAsia="zh-CN"/>
              </w:rPr>
              <w:t>二道河农场污水处理厂西侧为黑龙江省建三江农垦华能热力有限公司，</w:t>
            </w:r>
            <w:r>
              <w:rPr>
                <w:rFonts w:hint="default" w:ascii="Times New Roman" w:hAnsi="Times New Roman" w:cs="Times New Roman"/>
                <w:color w:val="auto"/>
                <w:sz w:val="24"/>
                <w:szCs w:val="28"/>
                <w:highlight w:val="none"/>
              </w:rPr>
              <w:t>污泥脱水达标后运送至</w:t>
            </w:r>
            <w:r>
              <w:rPr>
                <w:rFonts w:hint="eastAsia" w:cs="Times New Roman"/>
                <w:color w:val="auto"/>
                <w:sz w:val="24"/>
                <w:szCs w:val="28"/>
                <w:highlight w:val="none"/>
                <w:lang w:eastAsia="zh-CN"/>
              </w:rPr>
              <w:t>黑龙江省建三江农垦华能热力有限公司焚烧处理</w:t>
            </w:r>
          </w:p>
        </w:tc>
      </w:tr>
    </w:tbl>
    <w:p>
      <w:pPr>
        <w:pStyle w:val="6"/>
        <w:rPr>
          <w:rFonts w:hint="default" w:ascii="Times New Roman" w:hAnsi="Times New Roman" w:cs="Times New Roman"/>
          <w:color w:val="auto"/>
          <w:highlight w:val="none"/>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9"/>
        <w:rPr>
          <w:rFonts w:hint="default" w:ascii="Times New Roman" w:hAnsi="Times New Roman" w:cs="Times New Roman"/>
          <w:b/>
          <w:color w:val="auto"/>
          <w:kern w:val="0"/>
          <w:sz w:val="30"/>
          <w:szCs w:val="22"/>
          <w:highlight w:val="none"/>
        </w:rPr>
      </w:pPr>
      <w:bookmarkStart w:id="17" w:name="_Toc30287_WPSOffice_Level1"/>
      <w:bookmarkStart w:id="18" w:name="_Toc30545_WPSOffice_Level1"/>
      <w:bookmarkStart w:id="19" w:name="_Toc28757_WPSOffice_Level1"/>
      <w:bookmarkStart w:id="20" w:name="_Toc14159_WPSOffice_Level1"/>
      <w:bookmarkStart w:id="21" w:name="_Toc32411_WPSOffice_Level1"/>
      <w:bookmarkStart w:id="22" w:name="_Toc5535_WPSOffice_Level1"/>
      <w:bookmarkStart w:id="23" w:name="_Toc29854_WPSOffice_Level1"/>
      <w:bookmarkStart w:id="24" w:name="_Toc21919_WPSOffice_Level1"/>
      <w:bookmarkStart w:id="25" w:name="_Toc22085_WPSOffice_Level1"/>
      <w:r>
        <w:rPr>
          <w:rFonts w:hint="default" w:ascii="Times New Roman" w:hAnsi="Times New Roman" w:cs="Times New Roman"/>
          <w:b/>
          <w:color w:val="auto"/>
          <w:kern w:val="0"/>
          <w:sz w:val="30"/>
          <w:szCs w:val="22"/>
          <w:highlight w:val="none"/>
        </w:rPr>
        <w:t>续表二</w:t>
      </w:r>
      <w:bookmarkEnd w:id="17"/>
      <w:bookmarkEnd w:id="18"/>
      <w:bookmarkEnd w:id="19"/>
      <w:bookmarkEnd w:id="20"/>
      <w:bookmarkEnd w:id="21"/>
      <w:bookmarkEnd w:id="22"/>
      <w:bookmarkEnd w:id="23"/>
      <w:bookmarkEnd w:id="24"/>
      <w:bookmarkEnd w:id="25"/>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7"/>
        <w:gridCol w:w="7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53" w:hRule="atLeast"/>
        </w:trPr>
        <w:tc>
          <w:tcPr>
            <w:tcW w:w="767" w:type="dxa"/>
            <w:vAlign w:val="center"/>
          </w:tcPr>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bCs/>
                <w:color w:val="auto"/>
                <w:kern w:val="0"/>
                <w:sz w:val="24"/>
                <w:szCs w:val="24"/>
                <w:highlight w:val="none"/>
              </w:rPr>
              <w:t>工程环保设施投资</w:t>
            </w:r>
          </w:p>
        </w:tc>
        <w:tc>
          <w:tcPr>
            <w:tcW w:w="7755" w:type="dxa"/>
            <w:vAlign w:val="center"/>
          </w:tcPr>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本项目为城镇污水处理工程，为环保工程，工程环保投资即为工程总投资，</w:t>
            </w:r>
            <w:r>
              <w:rPr>
                <w:rFonts w:hint="default" w:ascii="Times New Roman" w:hAnsi="Times New Roman" w:eastAsia="宋体" w:cs="Times New Roman"/>
                <w:color w:val="auto"/>
                <w:sz w:val="24"/>
                <w:szCs w:val="24"/>
                <w:highlight w:val="none"/>
                <w:lang w:eastAsia="zh-CN"/>
              </w:rPr>
              <w:t>工程环保设施投资情况见表2-1：</w:t>
            </w:r>
          </w:p>
          <w:p>
            <w:pPr>
              <w:spacing w:line="360" w:lineRule="auto"/>
              <w:jc w:val="center"/>
              <w:outlineLvl w:val="2"/>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黑体" w:cs="Times New Roman"/>
                <w:b w:val="0"/>
                <w:bCs/>
                <w:color w:val="auto"/>
                <w:kern w:val="0"/>
                <w:sz w:val="21"/>
                <w:szCs w:val="21"/>
                <w:highlight w:val="none"/>
              </w:rPr>
              <w:t>表2-1  环保设施及措施投资情况</w:t>
            </w:r>
          </w:p>
          <w:tbl>
            <w:tblPr>
              <w:tblStyle w:val="11"/>
              <w:tblW w:w="752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666"/>
              <w:gridCol w:w="2381"/>
              <w:gridCol w:w="248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trPr>
              <w:tc>
                <w:tcPr>
                  <w:tcW w:w="2666" w:type="dxa"/>
                  <w:tcBorders>
                    <w:tl2br w:val="nil"/>
                    <w:tr2bl w:val="nil"/>
                  </w:tcBorders>
                  <w:vAlign w:val="center"/>
                </w:tcPr>
                <w:p>
                  <w:pPr>
                    <w:spacing w:line="240" w:lineRule="auto"/>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项目</w:t>
                  </w:r>
                </w:p>
              </w:tc>
              <w:tc>
                <w:tcPr>
                  <w:tcW w:w="2381" w:type="dxa"/>
                  <w:tcBorders>
                    <w:tl2br w:val="nil"/>
                    <w:tr2bl w:val="nil"/>
                  </w:tcBorders>
                  <w:vAlign w:val="center"/>
                </w:tcPr>
                <w:p>
                  <w:pPr>
                    <w:spacing w:line="240" w:lineRule="auto"/>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环评设计环保投资</w:t>
                  </w:r>
                </w:p>
                <w:p>
                  <w:pPr>
                    <w:spacing w:line="240" w:lineRule="auto"/>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（万元）</w:t>
                  </w:r>
                </w:p>
              </w:tc>
              <w:tc>
                <w:tcPr>
                  <w:tcW w:w="2482" w:type="dxa"/>
                  <w:tcBorders>
                    <w:tl2br w:val="nil"/>
                    <w:tr2bl w:val="nil"/>
                  </w:tcBorders>
                  <w:vAlign w:val="center"/>
                </w:tcPr>
                <w:p>
                  <w:pPr>
                    <w:spacing w:line="240" w:lineRule="auto"/>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实际环保投资</w:t>
                  </w:r>
                </w:p>
                <w:p>
                  <w:pPr>
                    <w:spacing w:line="240" w:lineRule="auto"/>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56" w:hRule="atLeast"/>
              </w:trPr>
              <w:tc>
                <w:tcPr>
                  <w:tcW w:w="2666" w:type="dxa"/>
                  <w:tcBorders>
                    <w:tl2br w:val="nil"/>
                    <w:tr2bl w:val="nil"/>
                  </w:tcBorders>
                  <w:vAlign w:val="center"/>
                </w:tcPr>
                <w:p>
                  <w:pPr>
                    <w:pStyle w:val="16"/>
                    <w:adjustRightInd/>
                    <w:spacing w:before="0" w:after="0" w:line="240" w:lineRule="auto"/>
                    <w:rPr>
                      <w:rFonts w:hint="default" w:ascii="Times New Roman" w:hAnsi="Times New Roman" w:eastAsia="仿宋" w:cs="Times New Roman"/>
                      <w:color w:val="auto"/>
                      <w:spacing w:val="0"/>
                      <w:kern w:val="2"/>
                      <w:szCs w:val="24"/>
                      <w:highlight w:val="none"/>
                    </w:rPr>
                  </w:pPr>
                  <w:r>
                    <w:rPr>
                      <w:rFonts w:hint="default" w:ascii="Times New Roman" w:hAnsi="Times New Roman" w:eastAsia="仿宋" w:cs="Times New Roman"/>
                      <w:color w:val="auto"/>
                      <w:spacing w:val="0"/>
                      <w:kern w:val="2"/>
                      <w:szCs w:val="24"/>
                      <w:highlight w:val="none"/>
                    </w:rPr>
                    <w:t>合计</w:t>
                  </w:r>
                </w:p>
              </w:tc>
              <w:tc>
                <w:tcPr>
                  <w:tcW w:w="2381" w:type="dxa"/>
                  <w:tcBorders>
                    <w:tl2br w:val="nil"/>
                    <w:tr2bl w:val="nil"/>
                  </w:tcBorders>
                  <w:vAlign w:val="center"/>
                </w:tcPr>
                <w:p>
                  <w:pPr>
                    <w:spacing w:line="240" w:lineRule="auto"/>
                    <w:jc w:val="center"/>
                    <w:rPr>
                      <w:rFonts w:hint="default" w:ascii="Times New Roman" w:hAnsi="Times New Roman" w:eastAsia="仿宋" w:cs="Times New Roman"/>
                      <w:color w:val="auto"/>
                      <w:highlight w:val="none"/>
                      <w:lang w:val="en-US" w:eastAsia="zh-CN"/>
                    </w:rPr>
                  </w:pPr>
                  <w:r>
                    <w:rPr>
                      <w:rFonts w:hint="eastAsia" w:eastAsia="仿宋" w:cs="Times New Roman"/>
                      <w:color w:val="auto"/>
                      <w:highlight w:val="none"/>
                      <w:lang w:val="en-US" w:eastAsia="zh-CN"/>
                    </w:rPr>
                    <w:t>1800</w:t>
                  </w:r>
                </w:p>
              </w:tc>
              <w:tc>
                <w:tcPr>
                  <w:tcW w:w="2482" w:type="dxa"/>
                  <w:tcBorders>
                    <w:tl2br w:val="nil"/>
                    <w:tr2bl w:val="nil"/>
                  </w:tcBorders>
                  <w:vAlign w:val="center"/>
                </w:tcPr>
                <w:p>
                  <w:pPr>
                    <w:spacing w:line="240" w:lineRule="auto"/>
                    <w:jc w:val="center"/>
                    <w:rPr>
                      <w:rFonts w:hint="default" w:ascii="Times New Roman" w:hAnsi="Times New Roman" w:eastAsia="仿宋" w:cs="Times New Roman"/>
                      <w:color w:val="auto"/>
                      <w:highlight w:val="none"/>
                      <w:lang w:val="en-US" w:eastAsia="zh-CN"/>
                    </w:rPr>
                  </w:pPr>
                  <w:r>
                    <w:rPr>
                      <w:rFonts w:hint="eastAsia" w:eastAsia="仿宋" w:cs="Times New Roman"/>
                      <w:color w:val="auto"/>
                      <w:highlight w:val="none"/>
                      <w:lang w:val="en-US" w:eastAsia="zh-CN"/>
                    </w:rPr>
                    <w:t>1129</w:t>
                  </w:r>
                </w:p>
              </w:tc>
            </w:tr>
          </w:tbl>
          <w:p>
            <w:pPr>
              <w:spacing w:line="360" w:lineRule="auto"/>
              <w:jc w:val="center"/>
              <w:rPr>
                <w:rFonts w:hint="default" w:ascii="Times New Roman" w:hAnsi="Times New Roman" w:cs="Times New Roman"/>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29" w:hRule="atLeast"/>
        </w:trPr>
        <w:tc>
          <w:tcPr>
            <w:tcW w:w="767" w:type="dxa"/>
            <w:vAlign w:val="center"/>
          </w:tcPr>
          <w:p>
            <w:pPr>
              <w:spacing w:line="360" w:lineRule="auto"/>
              <w:jc w:val="center"/>
              <w:outlineLvl w:val="2"/>
              <w:rPr>
                <w:rFonts w:hint="default" w:ascii="Times New Roman" w:hAnsi="Times New Roman" w:cs="Times New Roman"/>
                <w:color w:val="auto"/>
                <w:kern w:val="0"/>
                <w:sz w:val="24"/>
                <w:szCs w:val="24"/>
                <w:highlight w:val="none"/>
              </w:rPr>
            </w:pPr>
            <w:bookmarkStart w:id="26" w:name="_Toc29536"/>
            <w:bookmarkStart w:id="27" w:name="_Toc31296"/>
            <w:bookmarkStart w:id="28" w:name="_Toc419793285"/>
            <w:r>
              <w:rPr>
                <w:rFonts w:hint="default" w:ascii="Times New Roman" w:hAnsi="Times New Roman" w:cs="Times New Roman"/>
                <w:color w:val="auto"/>
                <w:kern w:val="0"/>
                <w:sz w:val="24"/>
                <w:szCs w:val="24"/>
                <w:highlight w:val="none"/>
              </w:rPr>
              <w:t>生产</w:t>
            </w:r>
            <w:bookmarkEnd w:id="26"/>
            <w:bookmarkStart w:id="29" w:name="_Toc16021"/>
            <w:r>
              <w:rPr>
                <w:rFonts w:hint="default" w:ascii="Times New Roman" w:hAnsi="Times New Roman" w:cs="Times New Roman"/>
                <w:color w:val="auto"/>
                <w:kern w:val="0"/>
                <w:sz w:val="24"/>
                <w:szCs w:val="24"/>
                <w:highlight w:val="none"/>
              </w:rPr>
              <w:t>工艺</w:t>
            </w:r>
            <w:bookmarkEnd w:id="29"/>
            <w:bookmarkStart w:id="30" w:name="_Toc23497"/>
            <w:r>
              <w:rPr>
                <w:rFonts w:hint="default" w:ascii="Times New Roman" w:hAnsi="Times New Roman" w:cs="Times New Roman"/>
                <w:color w:val="auto"/>
                <w:kern w:val="0"/>
                <w:sz w:val="24"/>
                <w:szCs w:val="24"/>
                <w:highlight w:val="none"/>
              </w:rPr>
              <w:t>流程</w:t>
            </w:r>
            <w:bookmarkEnd w:id="30"/>
            <w:r>
              <w:rPr>
                <w:rFonts w:hint="default" w:ascii="Times New Roman" w:hAnsi="Times New Roman" w:cs="Times New Roman"/>
                <w:color w:val="auto"/>
                <w:kern w:val="0"/>
                <w:sz w:val="24"/>
                <w:szCs w:val="24"/>
                <w:highlight w:val="none"/>
              </w:rPr>
              <w:t>及产物环节</w:t>
            </w:r>
          </w:p>
        </w:tc>
        <w:tc>
          <w:tcPr>
            <w:tcW w:w="7755" w:type="dxa"/>
            <w:vAlign w:val="center"/>
          </w:tcPr>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工艺流程简述：</w:t>
            </w:r>
          </w:p>
          <w:p>
            <w:pPr>
              <w:spacing w:line="360" w:lineRule="auto"/>
              <w:ind w:firstLine="480" w:firstLineChars="200"/>
              <w:rPr>
                <w:rFonts w:hint="default" w:ascii="Times New Roman" w:hAnsi="Times New Roman" w:eastAsia="宋体" w:cs="Times New Roman"/>
                <w:color w:val="auto"/>
                <w:kern w:val="2"/>
                <w:sz w:val="24"/>
                <w:szCs w:val="24"/>
                <w:highlight w:val="none"/>
                <w:lang w:eastAsia="zh-CN" w:bidi="ar-SA"/>
              </w:rPr>
            </w:pPr>
            <w:r>
              <w:rPr>
                <w:rFonts w:hint="default" w:ascii="Times New Roman" w:hAnsi="Times New Roman" w:eastAsia="宋体" w:cs="Times New Roman"/>
                <w:color w:val="auto"/>
                <w:kern w:val="2"/>
                <w:sz w:val="24"/>
                <w:szCs w:val="24"/>
                <w:highlight w:val="none"/>
                <w:lang w:eastAsia="zh-CN" w:bidi="ar-SA"/>
              </w:rPr>
              <w:t>CASS法是SBR法的改型工艺：原水经一级处理后间歇进入CASS反应池的生物选择区，与从CASS反应池主曝气区来的回流污泥混合，进行生化反应，然后流入CASS反应池的兼氧区，对回流污泥中带入的硝酸盐氮进行缺氧反硝化脱氮，也可以将兼氧区调节成厌氧状态进行厌氧释磷，混合液最终流入CASS反应池的主反应区，进行有机物降解，硝化和除磷，最后经沉淀后排出其上清液。</w:t>
            </w:r>
          </w:p>
          <w:p>
            <w:pPr>
              <w:widowControl w:val="0"/>
              <w:spacing w:line="360" w:lineRule="auto"/>
              <w:ind w:firstLine="480" w:firstLineChars="200"/>
              <w:jc w:val="both"/>
              <w:rPr>
                <w:rFonts w:hint="eastAsia"/>
                <w:color w:val="auto"/>
                <w:highlight w:val="none"/>
                <w:lang w:val="en-US" w:eastAsia="zh-CN"/>
              </w:rPr>
            </w:pPr>
            <w:r>
              <w:rPr>
                <w:rFonts w:hint="default" w:ascii="Times New Roman" w:hAnsi="Times New Roman" w:eastAsia="宋体" w:cs="Times New Roman"/>
                <w:color w:val="auto"/>
                <w:kern w:val="2"/>
                <w:sz w:val="24"/>
                <w:szCs w:val="24"/>
                <w:highlight w:val="none"/>
                <w:lang w:eastAsia="zh-CN" w:bidi="ar-SA"/>
              </w:rPr>
              <w:t>紫外线消毒是采用紫外线照射与氯化共同作用的物理化学方法是近年初步推广发展最快的消毒技术。紫外线消毒的基本原理为：紫外线对微生物的遗传物质（即 DNA）有畸变作用，在吸收了一定剂量的紫外线后，DNA的结合键断裂，细胞失去活力，无法进行繁殖，细菌数量大幅度减少，达到灭菌的目的。因为当紫外钱的波长为254mm时，DNA对紫外线的吸收达到最大，在这一被长具有最大能量输出的低压水银弧灯被广泛使用，在水量较大时，也使用中压或高压水银弧灯。紫外线消毒的主要优点是灭菌效率高，作用时间短，危险性小，无二次污染，对水中细菌、病毒、原生动物均有效，并且消毒时间短，不需建造较大的接触池，建消毒渠即可，占地面积和土建费用大大减少。</w:t>
            </w:r>
          </w:p>
          <w:p>
            <w:pPr>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正常工况项目工艺流程图见图2-2。</w:t>
            </w:r>
          </w:p>
          <w:p>
            <w:pPr>
              <w:widowControl/>
              <w:spacing w:line="360" w:lineRule="auto"/>
              <w:jc w:val="center"/>
              <w:rPr>
                <w:rFonts w:hint="default" w:ascii="Times New Roman" w:hAnsi="Times New Roman" w:cs="Times New Roman"/>
                <w:b/>
                <w:color w:val="auto"/>
                <w:kern w:val="0"/>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object>
                <v:shape id="_x0000_i1025" o:spt="75" type="#_x0000_t75" style="height:52.1pt;width:377pt;" o:ole="t" filled="f" o:preferrelative="t" stroked="f" coordsize="21600,21600">
                  <v:path/>
                  <v:fill on="f" focussize="0,0"/>
                  <v:stroke on="f"/>
                  <v:imagedata r:id="rId9" blacklevel="0f" o:title=""/>
                  <o:lock v:ext="edit" aspectratio="f"/>
                  <w10:wrap type="none"/>
                  <w10:anchorlock/>
                </v:shape>
                <o:OLEObject Type="Embed" ProgID="Visio.Drawing.15" ShapeID="_x0000_i1025" DrawAspect="Content" ObjectID="_1468075725" r:id="rId8">
                  <o:LockedField>false</o:LockedField>
                </o:OLEObject>
              </w:object>
            </w:r>
            <w:r>
              <w:rPr>
                <w:rFonts w:hint="default" w:ascii="Times New Roman" w:hAnsi="Times New Roman" w:eastAsia="黑体" w:cs="Times New Roman"/>
                <w:b w:val="0"/>
                <w:bCs/>
                <w:color w:val="auto"/>
                <w:kern w:val="0"/>
                <w:sz w:val="21"/>
                <w:szCs w:val="21"/>
                <w:highlight w:val="none"/>
              </w:rPr>
              <w:t>图2-2  正常工况项目工艺流程图</w:t>
            </w:r>
          </w:p>
        </w:tc>
      </w:tr>
      <w:bookmarkEnd w:id="27"/>
      <w:bookmarkEnd w:id="28"/>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31" w:name="_Toc9352_WPSOffice_Level1"/>
      <w:bookmarkStart w:id="32" w:name="_Toc31503_WPSOffice_Level1"/>
      <w:bookmarkStart w:id="33" w:name="_Toc515715403"/>
      <w:bookmarkStart w:id="34" w:name="_Toc16965_WPSOffice_Level1"/>
      <w:r>
        <w:rPr>
          <w:rFonts w:hint="default" w:ascii="Times New Roman" w:hAnsi="Times New Roman" w:cs="Times New Roman"/>
          <w:b/>
          <w:color w:val="auto"/>
          <w:kern w:val="0"/>
          <w:sz w:val="30"/>
          <w:szCs w:val="22"/>
          <w:highlight w:val="none"/>
        </w:rPr>
        <w:t>表三 主要污染源、污染物处理和排放</w:t>
      </w:r>
      <w:bookmarkEnd w:id="31"/>
      <w:bookmarkEnd w:id="32"/>
      <w:bookmarkEnd w:id="33"/>
      <w:bookmarkEnd w:id="34"/>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
        <w:gridCol w:w="7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77" w:hRule="atLeast"/>
          <w:jc w:val="center"/>
        </w:trPr>
        <w:tc>
          <w:tcPr>
            <w:tcW w:w="622" w:type="dxa"/>
            <w:vAlign w:val="center"/>
          </w:tcPr>
          <w:p>
            <w:pPr>
              <w:spacing w:line="360" w:lineRule="auto"/>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主要污染源、污染物处理和排放</w:t>
            </w:r>
          </w:p>
        </w:tc>
        <w:tc>
          <w:tcPr>
            <w:tcW w:w="7900" w:type="dxa"/>
            <w:vAlign w:val="top"/>
          </w:tcPr>
          <w:p>
            <w:pPr>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1、废水</w:t>
            </w:r>
          </w:p>
          <w:p>
            <w:pPr>
              <w:spacing w:line="360" w:lineRule="auto"/>
              <w:ind w:firstLine="480" w:firstLineChars="200"/>
              <w:jc w:val="both"/>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采用CASS处理工艺，</w:t>
            </w:r>
            <w:r>
              <w:rPr>
                <w:rFonts w:hint="eastAsia" w:cs="Times New Roman"/>
                <w:color w:val="auto"/>
                <w:sz w:val="24"/>
                <w:szCs w:val="24"/>
                <w:highlight w:val="none"/>
                <w:lang w:eastAsia="zh-CN"/>
              </w:rPr>
              <w:t>尾水满足</w:t>
            </w:r>
            <w:r>
              <w:rPr>
                <w:rFonts w:hint="default" w:ascii="Times New Roman" w:hAnsi="Times New Roman" w:cs="Times New Roman"/>
                <w:color w:val="auto"/>
                <w:sz w:val="24"/>
                <w:szCs w:val="24"/>
                <w:highlight w:val="none"/>
                <w:lang w:eastAsia="zh-CN"/>
              </w:rPr>
              <w:t>《城镇污水处理厂污染物排放标准》（GB18918-2002）一级B标准</w:t>
            </w:r>
            <w:r>
              <w:rPr>
                <w:rFonts w:hint="eastAsia"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排入农场东部护城河。</w:t>
            </w:r>
          </w:p>
          <w:p>
            <w:pPr>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2、废气</w:t>
            </w:r>
          </w:p>
          <w:p>
            <w:pPr>
              <w:spacing w:line="360" w:lineRule="auto"/>
              <w:ind w:firstLine="480" w:firstLineChars="200"/>
              <w:jc w:val="both"/>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污水处理厂</w:t>
            </w:r>
            <w:r>
              <w:rPr>
                <w:rFonts w:hint="eastAsia" w:cs="Times New Roman"/>
                <w:color w:val="auto"/>
                <w:sz w:val="24"/>
                <w:szCs w:val="24"/>
                <w:highlight w:val="none"/>
                <w:lang w:eastAsia="zh-CN"/>
              </w:rPr>
              <w:t>预处理间设置光催化氧化+活性炭装置</w:t>
            </w:r>
            <w:r>
              <w:rPr>
                <w:rFonts w:hint="default" w:ascii="Times New Roman" w:hAnsi="Times New Roman" w:cs="Times New Roman"/>
                <w:color w:val="auto"/>
                <w:sz w:val="24"/>
                <w:szCs w:val="24"/>
                <w:highlight w:val="none"/>
                <w:lang w:eastAsia="zh-CN"/>
              </w:rPr>
              <w:t>，经</w:t>
            </w:r>
            <w:r>
              <w:rPr>
                <w:rFonts w:hint="eastAsia" w:cs="Times New Roman"/>
                <w:color w:val="auto"/>
                <w:sz w:val="24"/>
                <w:szCs w:val="24"/>
                <w:highlight w:val="none"/>
                <w:lang w:eastAsia="zh-CN"/>
              </w:rPr>
              <w:t>15.6m</w:t>
            </w:r>
            <w:r>
              <w:rPr>
                <w:rFonts w:hint="default" w:ascii="Times New Roman" w:hAnsi="Times New Roman" w:cs="Times New Roman"/>
                <w:color w:val="auto"/>
                <w:sz w:val="24"/>
                <w:szCs w:val="24"/>
                <w:highlight w:val="none"/>
                <w:lang w:eastAsia="zh-CN"/>
              </w:rPr>
              <w:t>高的排气筒排放，CASS反应池、</w:t>
            </w:r>
            <w:r>
              <w:rPr>
                <w:rFonts w:hint="eastAsia" w:cs="Times New Roman"/>
                <w:color w:val="auto"/>
                <w:sz w:val="24"/>
                <w:szCs w:val="24"/>
                <w:highlight w:val="none"/>
                <w:lang w:eastAsia="zh-CN"/>
              </w:rPr>
              <w:t>污泥脱水间设置光催化氧化+活性炭装置</w:t>
            </w:r>
            <w:r>
              <w:rPr>
                <w:rFonts w:hint="default" w:ascii="Times New Roman" w:hAnsi="Times New Roman" w:cs="Times New Roman"/>
                <w:color w:val="auto"/>
                <w:sz w:val="24"/>
                <w:szCs w:val="24"/>
                <w:highlight w:val="none"/>
                <w:lang w:eastAsia="zh-CN"/>
              </w:rPr>
              <w:t>，经</w:t>
            </w:r>
            <w:r>
              <w:rPr>
                <w:rFonts w:hint="eastAsia" w:cs="Times New Roman"/>
                <w:color w:val="auto"/>
                <w:sz w:val="24"/>
                <w:szCs w:val="24"/>
                <w:highlight w:val="none"/>
                <w:lang w:eastAsia="zh-CN"/>
              </w:rPr>
              <w:t>15.6m</w:t>
            </w:r>
            <w:r>
              <w:rPr>
                <w:rFonts w:hint="default" w:ascii="Times New Roman" w:hAnsi="Times New Roman" w:cs="Times New Roman"/>
                <w:color w:val="auto"/>
                <w:sz w:val="24"/>
                <w:szCs w:val="24"/>
                <w:highlight w:val="none"/>
                <w:lang w:eastAsia="zh-CN"/>
              </w:rPr>
              <w:t>高的排气筒排放，恶臭气体执行《恶臭污染物排放标准》（GB14554-93）15m高排气筒中二级排放速率限值；无组织排放的恶臭气体执行《城镇污水处理厂污染物排放标准》（GB18918-2002）排放限值要求。</w:t>
            </w:r>
          </w:p>
          <w:p>
            <w:pPr>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3、噪声</w:t>
            </w:r>
          </w:p>
          <w:p>
            <w:pPr>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项目主要产噪设备主要为各类风机、水泵。</w:t>
            </w:r>
            <w:r>
              <w:rPr>
                <w:rFonts w:hint="default" w:ascii="Times New Roman" w:hAnsi="Times New Roman" w:eastAsia="宋体" w:cs="Times New Roman"/>
                <w:color w:val="auto"/>
                <w:sz w:val="24"/>
                <w:szCs w:val="24"/>
                <w:highlight w:val="none"/>
                <w:lang w:eastAsia="zh-CN"/>
              </w:rPr>
              <w:t>本项目选取的均为低噪声设备，鼓风机3台，分别设置入口消音器及出口消音器共6个；污泥回流泵3台、剩余污泥泵3台、污水泵2台、潜水排污泵4台均设置减震基座；水泵等高噪声设备设置减震基座、风机设置消声器。在水厂周围及厂区加强绿化，降低噪声、减少噪声的传</w:t>
            </w:r>
            <w:r>
              <w:rPr>
                <w:rFonts w:hint="default" w:ascii="Times New Roman" w:hAnsi="Times New Roman" w:cs="Times New Roman"/>
                <w:color w:val="auto"/>
                <w:sz w:val="24"/>
                <w:szCs w:val="28"/>
                <w:highlight w:val="none"/>
                <w:lang w:eastAsia="zh-CN"/>
              </w:rPr>
              <w:t>播</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运营期厂界噪声执行《工业企业厂界环境噪声排放标准》（GB12348-2008）中</w:t>
            </w:r>
            <w:r>
              <w:rPr>
                <w:rFonts w:hint="eastAsia" w:ascii="Times New Roman" w:hAnsi="Times New Roman" w:cs="Times New Roman"/>
                <w:color w:val="auto"/>
                <w:sz w:val="24"/>
                <w:szCs w:val="28"/>
                <w:highlight w:val="none"/>
                <w:lang w:val="en-US" w:eastAsia="zh-CN"/>
              </w:rPr>
              <w:t>2</w:t>
            </w:r>
            <w:r>
              <w:rPr>
                <w:rFonts w:hint="default" w:ascii="Times New Roman" w:hAnsi="Times New Roman" w:cs="Times New Roman"/>
                <w:color w:val="auto"/>
                <w:sz w:val="24"/>
                <w:szCs w:val="28"/>
                <w:highlight w:val="none"/>
              </w:rPr>
              <w:t>类区标准</w:t>
            </w:r>
            <w:r>
              <w:rPr>
                <w:rFonts w:hint="eastAsia" w:cs="Times New Roman"/>
                <w:color w:val="auto"/>
                <w:sz w:val="24"/>
                <w:szCs w:val="28"/>
                <w:highlight w:val="none"/>
                <w:lang w:eastAsia="zh-CN"/>
              </w:rPr>
              <w:t>。</w:t>
            </w:r>
          </w:p>
          <w:p>
            <w:pPr>
              <w:spacing w:line="360" w:lineRule="auto"/>
              <w:ind w:firstLine="480" w:firstLineChars="200"/>
              <w:jc w:val="both"/>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4、固体废物</w:t>
            </w:r>
          </w:p>
          <w:p>
            <w:pPr>
              <w:widowControl w:val="0"/>
              <w:spacing w:line="360" w:lineRule="auto"/>
              <w:ind w:firstLine="480" w:firstLineChars="200"/>
              <w:jc w:val="both"/>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8"/>
                <w:highlight w:val="none"/>
              </w:rPr>
              <w:t>生活垃圾设置垃圾箱统一收集，和栅渣、沉砂一起由市政统一清运；污泥脱水达标后运送至</w:t>
            </w:r>
            <w:r>
              <w:rPr>
                <w:rFonts w:hint="eastAsia" w:cs="Times New Roman"/>
                <w:color w:val="auto"/>
                <w:sz w:val="24"/>
                <w:szCs w:val="28"/>
                <w:highlight w:val="none"/>
                <w:lang w:eastAsia="zh-CN"/>
              </w:rPr>
              <w:t>黑龙江省建三江农垦华能热力有限公司焚烧处理</w:t>
            </w:r>
            <w:r>
              <w:rPr>
                <w:rFonts w:hint="default" w:ascii="Times New Roman" w:hAnsi="Times New Roman" w:cs="Times New Roman"/>
                <w:color w:val="auto"/>
                <w:sz w:val="24"/>
                <w:szCs w:val="28"/>
                <w:highlight w:val="none"/>
              </w:rPr>
              <w:t>；</w:t>
            </w:r>
            <w:r>
              <w:rPr>
                <w:rFonts w:hint="eastAsia" w:cs="Times New Roman"/>
                <w:color w:val="auto"/>
                <w:sz w:val="24"/>
                <w:szCs w:val="28"/>
                <w:highlight w:val="none"/>
                <w:lang w:eastAsia="zh-CN"/>
              </w:rPr>
              <w:t>实验室废液交由哈尔滨国环医疗固体废物无害化集中处置中心有限公司处理</w:t>
            </w:r>
            <w:r>
              <w:rPr>
                <w:rFonts w:hint="default" w:ascii="Times New Roman" w:hAnsi="Times New Roman" w:cs="Times New Roman"/>
                <w:color w:val="auto"/>
                <w:sz w:val="24"/>
                <w:szCs w:val="2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1" w:hRule="atLeast"/>
          <w:jc w:val="center"/>
        </w:trPr>
        <w:tc>
          <w:tcPr>
            <w:tcW w:w="622" w:type="dxa"/>
            <w:vAlign w:val="center"/>
          </w:tcPr>
          <w:p>
            <w:pPr>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废气监测点位示意图</w:t>
            </w:r>
          </w:p>
        </w:tc>
        <w:tc>
          <w:tcPr>
            <w:tcW w:w="7900" w:type="dxa"/>
            <w:vAlign w:val="center"/>
          </w:tcPr>
          <w:p>
            <w:pPr>
              <w:keepNext w:val="0"/>
              <w:keepLines w:val="0"/>
              <w:widowControl/>
              <w:suppressLineNumbers w:val="0"/>
              <w:jc w:val="center"/>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"C:\\Users\\Administrator\\AppData\\Roaming\\Tencent\\Users\\1262662546\\QQ\\WinTemp\\RichOle\\4RYF3`E37{GNJMRVFJ)HM$7.png"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26" o:spt="75" type="#_x0000_t75" style="height:130.5pt;width:307.5pt;" filled="f" coordsize="21600,21600">
                  <v:path/>
                  <v:fill on="f" focussize="0,0"/>
                  <v:stroke/>
                  <v:imagedata r:id="rId10"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keepNext w:val="0"/>
              <w:keepLines w:val="0"/>
              <w:widowControl/>
              <w:suppressLineNumbers w:val="0"/>
              <w:jc w:val="center"/>
              <w:rPr>
                <w:rFonts w:hint="default" w:ascii="Times New Roman" w:hAnsi="Times New Roman" w:cs="Times New Roman"/>
                <w:color w:val="auto"/>
                <w:sz w:val="24"/>
                <w:szCs w:val="24"/>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"C:\\Users\\Administrator\\AppData\\Roaming\\Tencent\\Users\\1262662546\\QQ\\WinTemp\\RichOle\\]M_GU3X4@CLJW2(CP6}CBJB.png"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27" o:spt="75" type="#_x0000_t75" style="height:177pt;width:307.5pt;" filled="f" coordsize="21600,21600">
                  <v:path/>
                  <v:fill on="f" focussize="0,0"/>
                  <v:stroke/>
                  <v:imagedata r:id="rId11"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spacing w:line="360" w:lineRule="auto"/>
              <w:jc w:val="center"/>
              <w:outlineLvl w:val="2"/>
              <w:rPr>
                <w:rFonts w:hint="default" w:ascii="Times New Roman" w:hAnsi="Times New Roman" w:cs="Times New Roman"/>
                <w:color w:val="auto"/>
                <w:kern w:val="0"/>
                <w:sz w:val="24"/>
                <w:szCs w:val="24"/>
                <w:highlight w:val="none"/>
              </w:rPr>
            </w:pPr>
            <w:r>
              <w:rPr>
                <w:rFonts w:hint="default" w:ascii="Times New Roman" w:hAnsi="Times New Roman" w:eastAsia="黑体" w:cs="Times New Roman"/>
                <w:b w:val="0"/>
                <w:bCs/>
                <w:color w:val="auto"/>
                <w:kern w:val="0"/>
                <w:sz w:val="21"/>
                <w:szCs w:val="21"/>
                <w:highlight w:val="none"/>
              </w:rPr>
              <w:t>图3-1  有组织废气监测点位示意图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1" w:hRule="atLeast"/>
          <w:jc w:val="center"/>
        </w:trPr>
        <w:tc>
          <w:tcPr>
            <w:tcW w:w="622" w:type="dxa"/>
            <w:vAlign w:val="center"/>
          </w:tcPr>
          <w:p>
            <w:pPr>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废气监测点位示意图</w:t>
            </w:r>
          </w:p>
        </w:tc>
        <w:tc>
          <w:tcPr>
            <w:tcW w:w="7900" w:type="dxa"/>
            <w:vAlign w:val="center"/>
          </w:tcPr>
          <w:p>
            <w:pPr>
              <w:keepNext w:val="0"/>
              <w:keepLines w:val="0"/>
              <w:widowControl/>
              <w:suppressLineNumbers w:val="0"/>
              <w:jc w:val="center"/>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"C:\\Users\\Administrator\\AppData\\Roaming\\Tencent\\Users\\1262662546\\QQ\\WinTemp\\RichOle\\29%7GHSO`J$MQHIWEV}ZS}B.png"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28" o:spt="75" type="#_x0000_t75" style="height:159.75pt;width:275.25pt;" filled="f" coordsize="21600,21600">
                  <v:path/>
                  <v:fill on="f" focussize="0,0"/>
                  <v:stroke/>
                  <v:imagedata r:id="rId12"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spacing w:line="360" w:lineRule="auto"/>
              <w:jc w:val="center"/>
              <w:outlineLvl w:val="2"/>
              <w:rPr>
                <w:rFonts w:hint="default"/>
                <w:color w:val="auto"/>
                <w:highlight w:val="none"/>
              </w:rPr>
            </w:pPr>
            <w:r>
              <w:rPr>
                <w:rFonts w:hint="default" w:ascii="Times New Roman" w:hAnsi="Times New Roman" w:eastAsia="黑体" w:cs="Times New Roman"/>
                <w:b w:val="0"/>
                <w:bCs/>
                <w:color w:val="auto"/>
                <w:kern w:val="0"/>
                <w:sz w:val="21"/>
                <w:szCs w:val="21"/>
                <w:highlight w:val="none"/>
              </w:rPr>
              <w:t>图3-</w:t>
            </w:r>
            <w:r>
              <w:rPr>
                <w:rFonts w:hint="eastAsia" w:eastAsia="黑体" w:cs="Times New Roman"/>
                <w:b w:val="0"/>
                <w:bCs/>
                <w:color w:val="auto"/>
                <w:kern w:val="0"/>
                <w:sz w:val="21"/>
                <w:szCs w:val="21"/>
                <w:highlight w:val="none"/>
                <w:lang w:val="en-US" w:eastAsia="zh-CN"/>
              </w:rPr>
              <w:t>2</w:t>
            </w:r>
            <w:r>
              <w:rPr>
                <w:rFonts w:hint="default" w:ascii="Times New Roman" w:hAnsi="Times New Roman" w:eastAsia="黑体" w:cs="Times New Roman"/>
                <w:b w:val="0"/>
                <w:bCs/>
                <w:color w:val="auto"/>
                <w:kern w:val="0"/>
                <w:sz w:val="21"/>
                <w:szCs w:val="21"/>
                <w:highlight w:val="none"/>
              </w:rPr>
              <w:t xml:space="preserve">  </w:t>
            </w:r>
            <w:r>
              <w:rPr>
                <w:rFonts w:hint="eastAsia" w:eastAsia="黑体" w:cs="Times New Roman"/>
                <w:b w:val="0"/>
                <w:bCs/>
                <w:color w:val="auto"/>
                <w:kern w:val="0"/>
                <w:sz w:val="21"/>
                <w:szCs w:val="21"/>
                <w:highlight w:val="none"/>
                <w:lang w:eastAsia="zh-CN"/>
              </w:rPr>
              <w:t>无</w:t>
            </w:r>
            <w:r>
              <w:rPr>
                <w:rFonts w:hint="default" w:ascii="Times New Roman" w:hAnsi="Times New Roman" w:eastAsia="黑体" w:cs="Times New Roman"/>
                <w:b w:val="0"/>
                <w:bCs/>
                <w:color w:val="auto"/>
                <w:kern w:val="0"/>
                <w:sz w:val="21"/>
                <w:szCs w:val="21"/>
                <w:highlight w:val="none"/>
              </w:rPr>
              <w:t>组织废气监测点位示意图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31" w:hRule="atLeast"/>
          <w:jc w:val="center"/>
        </w:trPr>
        <w:tc>
          <w:tcPr>
            <w:tcW w:w="622" w:type="dxa"/>
            <w:vAlign w:val="center"/>
          </w:tcPr>
          <w:p>
            <w:pPr>
              <w:spacing w:line="24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噪声监测点位示意图</w:t>
            </w:r>
          </w:p>
        </w:tc>
        <w:tc>
          <w:tcPr>
            <w:tcW w:w="7900" w:type="dxa"/>
            <w:vAlign w:val="center"/>
          </w:tcPr>
          <w:p>
            <w:pPr>
              <w:spacing w:line="360" w:lineRule="auto"/>
              <w:jc w:val="center"/>
              <w:outlineLvl w:val="2"/>
              <w:rPr>
                <w:color w:val="auto"/>
                <w:highlight w:val="none"/>
                <w:lang w:val="en-US" w:eastAsia="zh-CN"/>
              </w:rPr>
            </w:pPr>
            <w:r>
              <w:rPr>
                <w:color w:val="auto"/>
                <w:highlight w:val="none"/>
                <w:lang w:val="en-US" w:eastAsia="zh-CN"/>
              </w:rPr>
              <w:pict>
                <v:rect id="矩形 37" o:spid="_x0000_s1033" o:spt="1" style="position:absolute;left:0pt;margin-left:129.45pt;margin-top:163.5pt;height:78.15pt;width:124.5pt;z-index:251659264;mso-width-relative:page;mso-height-relative:page;" fillcolor="#FFFFFF" filled="t" o:preferrelative="t" stroked="f" coordsize="21600,21600">
                  <v:path/>
                  <v:fill on="t" focussize="0,0"/>
                  <v:stroke on="f"/>
                  <v:imagedata gain="65536f" blacklevel="0f" gamma="0" o:title=""/>
                  <o:lock v:ext="edit" position="f" selection="f" grouping="f" rotation="f" cropping="f" text="f" aspectratio="f"/>
                </v:rect>
              </w:pict>
            </w:r>
            <w:r>
              <w:rPr>
                <w:color w:val="auto"/>
                <w:highlight w:val="none"/>
                <w:lang w:val="en-US" w:eastAsia="zh-CN"/>
              </w:rPr>
              <w:pict>
                <v:shape id="_x0000_i1029" o:spt="75" type="#_x0000_t75" style="height:263.95pt;width:161.25pt;" fillcolor="#FFFFFF" filled="f" o:preferrelative="t" stroked="f" coordsize="21600,21600">
                  <v:path/>
                  <v:fill on="f" color2="#FFFFFF" focussize="0,0"/>
                  <v:stroke on="f"/>
                  <v:imagedata r:id="rId13" gain="65536f" blacklevel="0f" gamma="0" o:title=""/>
                  <o:lock v:ext="edit" position="f" selection="f" grouping="f" rotation="f" cropping="f" text="f" aspectratio="t"/>
                  <w10:wrap type="none"/>
                  <w10:anchorlock/>
                </v:shape>
              </w:pict>
            </w:r>
          </w:p>
          <w:p>
            <w:pPr>
              <w:pStyle w:val="2"/>
              <w:ind w:left="0" w:leftChars="0" w:firstLine="0" w:firstLineChars="0"/>
              <w:jc w:val="center"/>
              <w:rPr>
                <w:rFonts w:hint="default"/>
                <w:color w:val="auto"/>
                <w:highlight w:val="none"/>
              </w:rPr>
            </w:pPr>
            <w:r>
              <w:rPr>
                <w:rFonts w:hint="default" w:ascii="Times New Roman" w:hAnsi="Times New Roman" w:eastAsia="黑体" w:cs="Times New Roman"/>
                <w:b w:val="0"/>
                <w:bCs/>
                <w:color w:val="auto"/>
                <w:kern w:val="0"/>
                <w:sz w:val="21"/>
                <w:szCs w:val="21"/>
                <w:highlight w:val="none"/>
              </w:rPr>
              <w:t>图3-</w:t>
            </w:r>
            <w:r>
              <w:rPr>
                <w:rFonts w:hint="eastAsia" w:eastAsia="黑体" w:cs="Times New Roman"/>
                <w:b w:val="0"/>
                <w:bCs/>
                <w:color w:val="auto"/>
                <w:kern w:val="0"/>
                <w:sz w:val="21"/>
                <w:szCs w:val="21"/>
                <w:highlight w:val="none"/>
                <w:lang w:val="en-US" w:eastAsia="zh-CN"/>
              </w:rPr>
              <w:t>3</w:t>
            </w:r>
            <w:r>
              <w:rPr>
                <w:rFonts w:hint="default" w:ascii="Times New Roman" w:hAnsi="Times New Roman" w:eastAsia="黑体" w:cs="Times New Roman"/>
                <w:b w:val="0"/>
                <w:bCs/>
                <w:color w:val="auto"/>
                <w:kern w:val="0"/>
                <w:sz w:val="21"/>
                <w:szCs w:val="21"/>
                <w:highlight w:val="none"/>
              </w:rPr>
              <w:t xml:space="preserve"> </w:t>
            </w:r>
            <w:r>
              <w:rPr>
                <w:rFonts w:hint="eastAsia" w:ascii="Times New Roman" w:hAnsi="Times New Roman" w:eastAsia="黑体" w:cs="Times New Roman"/>
                <w:b w:val="0"/>
                <w:bCs/>
                <w:color w:val="auto"/>
                <w:kern w:val="0"/>
                <w:sz w:val="21"/>
                <w:szCs w:val="21"/>
                <w:highlight w:val="none"/>
                <w:lang w:eastAsia="zh-CN"/>
              </w:rPr>
              <w:t>噪声</w:t>
            </w:r>
            <w:r>
              <w:rPr>
                <w:rFonts w:hint="default" w:ascii="Times New Roman" w:hAnsi="Times New Roman" w:eastAsia="黑体" w:cs="Times New Roman"/>
                <w:b w:val="0"/>
                <w:bCs/>
                <w:color w:val="auto"/>
                <w:kern w:val="0"/>
                <w:sz w:val="21"/>
                <w:szCs w:val="21"/>
                <w:highlight w:val="none"/>
              </w:rPr>
              <w:t>监测点位示意图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0" w:hRule="atLeast"/>
          <w:jc w:val="center"/>
        </w:trPr>
        <w:tc>
          <w:tcPr>
            <w:tcW w:w="622" w:type="dxa"/>
            <w:vAlign w:val="center"/>
          </w:tcPr>
          <w:p>
            <w:pPr>
              <w:spacing w:line="240" w:lineRule="auto"/>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废水监测点位示意图</w:t>
            </w:r>
          </w:p>
        </w:tc>
        <w:tc>
          <w:tcPr>
            <w:tcW w:w="7900" w:type="dxa"/>
            <w:vAlign w:val="center"/>
          </w:tcPr>
          <w:p>
            <w:pPr>
              <w:keepNext w:val="0"/>
              <w:keepLines w:val="0"/>
              <w:widowControl/>
              <w:suppressLineNumbers w:val="0"/>
              <w:jc w:val="cente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"C:\\Users\\Administrator\\AppData\\Roaming\\Tencent\\Users\\1262662546\\QQ\\WinTemp\\RichOle\\LBXO8U]7IW76%G)Z%QAQF$4.png"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pict>
                <v:shape id="_x0000_i1030" o:spt="75" alt="IMG_256" type="#_x0000_t75" style="height:247.3pt;width:355.05pt;" filled="f" o:preferrelative="t" stroked="f" coordsize="21600,21600">
                  <v:path/>
                  <v:fill on="f" focussize="0,0"/>
                  <v:stroke on="f"/>
                  <v:imagedata r:id="rId14" o:title="IMG_256"/>
                  <o:lock v:ext="edit" aspectratio="t"/>
                  <w10:wrap type="none"/>
                  <w10:anchorlock/>
                </v:shape>
              </w:pict>
            </w:r>
            <w:r>
              <w:rPr>
                <w:rFonts w:ascii="宋体" w:hAnsi="宋体" w:eastAsia="宋体" w:cs="宋体"/>
                <w:kern w:val="0"/>
                <w:sz w:val="24"/>
                <w:szCs w:val="24"/>
                <w:lang w:val="en-US" w:eastAsia="zh-CN" w:bidi="ar"/>
              </w:rPr>
              <w:fldChar w:fldCharType="end"/>
            </w:r>
          </w:p>
          <w:p>
            <w:pPr>
              <w:keepNext w:val="0"/>
              <w:keepLines w:val="0"/>
              <w:widowControl/>
              <w:suppressLineNumbers w:val="0"/>
              <w:jc w:val="left"/>
            </w:pPr>
          </w:p>
          <w:p>
            <w:pPr>
              <w:keepNext w:val="0"/>
              <w:keepLines w:val="0"/>
              <w:widowControl/>
              <w:suppressLineNumbers w:val="0"/>
              <w:jc w:val="left"/>
              <w:rPr>
                <w:color w:val="auto"/>
                <w:highlight w:val="none"/>
              </w:rPr>
            </w:pPr>
          </w:p>
          <w:p>
            <w:pPr>
              <w:spacing w:line="360" w:lineRule="auto"/>
              <w:jc w:val="center"/>
              <w:outlineLvl w:val="2"/>
              <w:rPr>
                <w:rFonts w:hint="default" w:ascii="Times New Roman" w:hAnsi="Times New Roman" w:cs="Times New Roman"/>
                <w:color w:val="auto"/>
                <w:sz w:val="24"/>
                <w:szCs w:val="24"/>
                <w:highlight w:val="none"/>
              </w:rPr>
            </w:pPr>
            <w:r>
              <w:rPr>
                <w:rFonts w:hint="default" w:ascii="Times New Roman" w:hAnsi="Times New Roman" w:eastAsia="黑体" w:cs="Times New Roman"/>
                <w:b w:val="0"/>
                <w:bCs/>
                <w:color w:val="auto"/>
                <w:kern w:val="0"/>
                <w:sz w:val="21"/>
                <w:szCs w:val="21"/>
                <w:highlight w:val="none"/>
              </w:rPr>
              <w:t>图3-</w:t>
            </w:r>
            <w:r>
              <w:rPr>
                <w:rFonts w:hint="eastAsia" w:eastAsia="黑体" w:cs="Times New Roman"/>
                <w:b w:val="0"/>
                <w:bCs/>
                <w:color w:val="auto"/>
                <w:kern w:val="0"/>
                <w:sz w:val="21"/>
                <w:szCs w:val="21"/>
                <w:highlight w:val="none"/>
                <w:lang w:val="en-US" w:eastAsia="zh-CN"/>
              </w:rPr>
              <w:t>2</w:t>
            </w:r>
            <w:r>
              <w:rPr>
                <w:rFonts w:hint="default" w:ascii="Times New Roman" w:hAnsi="Times New Roman" w:eastAsia="黑体" w:cs="Times New Roman"/>
                <w:b w:val="0"/>
                <w:bCs/>
                <w:color w:val="auto"/>
                <w:kern w:val="0"/>
                <w:sz w:val="21"/>
                <w:szCs w:val="21"/>
                <w:highlight w:val="none"/>
              </w:rPr>
              <w:t xml:space="preserve">  </w:t>
            </w:r>
            <w:r>
              <w:rPr>
                <w:rFonts w:hint="eastAsia" w:eastAsia="黑体" w:cs="Times New Roman"/>
                <w:b w:val="0"/>
                <w:bCs/>
                <w:color w:val="auto"/>
                <w:kern w:val="0"/>
                <w:sz w:val="21"/>
                <w:szCs w:val="21"/>
                <w:highlight w:val="none"/>
                <w:lang w:eastAsia="zh-CN"/>
              </w:rPr>
              <w:t>废水</w:t>
            </w:r>
            <w:r>
              <w:rPr>
                <w:rFonts w:hint="default" w:ascii="Times New Roman" w:hAnsi="Times New Roman" w:eastAsia="黑体" w:cs="Times New Roman"/>
                <w:b w:val="0"/>
                <w:bCs/>
                <w:color w:val="auto"/>
                <w:kern w:val="0"/>
                <w:sz w:val="21"/>
                <w:szCs w:val="21"/>
                <w:highlight w:val="none"/>
              </w:rPr>
              <w:t>监测点位示意图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0" w:hRule="atLeast"/>
          <w:jc w:val="center"/>
        </w:trPr>
        <w:tc>
          <w:tcPr>
            <w:tcW w:w="622" w:type="dxa"/>
            <w:vAlign w:val="center"/>
          </w:tcPr>
          <w:p>
            <w:pPr>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环境空气</w:t>
            </w:r>
            <w:r>
              <w:rPr>
                <w:rFonts w:hint="default" w:ascii="Times New Roman" w:hAnsi="Times New Roman" w:cs="Times New Roman"/>
                <w:color w:val="auto"/>
                <w:sz w:val="24"/>
                <w:szCs w:val="24"/>
                <w:highlight w:val="none"/>
              </w:rPr>
              <w:t>监测点位示意图</w:t>
            </w:r>
          </w:p>
        </w:tc>
        <w:tc>
          <w:tcPr>
            <w:tcW w:w="7900" w:type="dxa"/>
            <w:vAlign w:val="center"/>
          </w:tcPr>
          <w:p>
            <w:pPr>
              <w:widowControl/>
              <w:jc w:val="left"/>
              <w:rPr>
                <w:color w:val="auto"/>
                <w:highlight w:val="none"/>
              </w:rPr>
            </w:pPr>
            <w:r>
              <w:rPr>
                <w:rFonts w:ascii="宋体" w:hAnsi="宋体" w:eastAsia="宋体" w:cs="宋体"/>
                <w:color w:val="auto"/>
                <w:kern w:val="0"/>
                <w:sz w:val="24"/>
                <w:szCs w:val="24"/>
                <w:highlight w:val="none"/>
                <w:lang w:val="en-US" w:eastAsia="zh-CN" w:bidi="ar-SA"/>
              </w:rPr>
              <w:pict>
                <v:shape id="_x0000_i1031" o:spt="75" type="#_x0000_t75" style="height:294.35pt;width:380.25pt;" fillcolor="#FFFFFF" filled="f" o:preferrelative="t" stroked="f" coordsize="21600,21600">
                  <v:path/>
                  <v:fill on="f" color2="#FFFFFF" focussize="0,0"/>
                  <v:stroke on="f"/>
                  <v:imagedata r:id="rId15" gain="65536f" blacklevel="0f" gamma="0" o:title=""/>
                  <o:lock v:ext="edit" position="f" selection="f" grouping="f" rotation="f" cropping="f" text="f" aspectratio="t"/>
                  <w10:wrap type="none"/>
                  <w10:anchorlock/>
                </v:shape>
              </w:pict>
            </w:r>
          </w:p>
          <w:p>
            <w:pPr>
              <w:widowControl/>
              <w:jc w:val="left"/>
              <w:rPr>
                <w:color w:val="auto"/>
                <w:highlight w:val="none"/>
              </w:rPr>
            </w:pPr>
          </w:p>
          <w:p>
            <w:pPr>
              <w:spacing w:line="360" w:lineRule="auto"/>
              <w:jc w:val="center"/>
              <w:outlineLvl w:val="2"/>
              <w:rPr>
                <w:rFonts w:hint="default" w:ascii="Times New Roman" w:hAnsi="Times New Roman" w:cs="Times New Roman"/>
                <w:b/>
                <w:color w:val="auto"/>
                <w:kern w:val="0"/>
                <w:sz w:val="24"/>
                <w:szCs w:val="24"/>
                <w:highlight w:val="none"/>
              </w:rPr>
            </w:pPr>
            <w:r>
              <w:rPr>
                <w:rFonts w:hint="default" w:ascii="Times New Roman" w:hAnsi="Times New Roman" w:eastAsia="黑体" w:cs="Times New Roman"/>
                <w:b w:val="0"/>
                <w:bCs/>
                <w:color w:val="auto"/>
                <w:kern w:val="0"/>
                <w:sz w:val="21"/>
                <w:szCs w:val="21"/>
                <w:highlight w:val="none"/>
              </w:rPr>
              <w:t>图3-</w:t>
            </w:r>
            <w:r>
              <w:rPr>
                <w:rFonts w:hint="default" w:ascii="Times New Roman" w:hAnsi="Times New Roman" w:eastAsia="黑体" w:cs="Times New Roman"/>
                <w:b w:val="0"/>
                <w:bCs/>
                <w:color w:val="auto"/>
                <w:kern w:val="0"/>
                <w:sz w:val="21"/>
                <w:szCs w:val="21"/>
                <w:highlight w:val="none"/>
                <w:lang w:val="en-US" w:eastAsia="zh-CN"/>
              </w:rPr>
              <w:t>2</w:t>
            </w:r>
            <w:r>
              <w:rPr>
                <w:rFonts w:hint="default" w:ascii="Times New Roman" w:hAnsi="Times New Roman" w:eastAsia="黑体" w:cs="Times New Roman"/>
                <w:b w:val="0"/>
                <w:bCs/>
                <w:color w:val="auto"/>
                <w:kern w:val="0"/>
                <w:sz w:val="21"/>
                <w:szCs w:val="21"/>
                <w:highlight w:val="none"/>
              </w:rPr>
              <w:t xml:space="preserve">  </w:t>
            </w:r>
            <w:r>
              <w:rPr>
                <w:rFonts w:hint="default" w:ascii="Times New Roman" w:hAnsi="Times New Roman" w:eastAsia="黑体" w:cs="Times New Roman"/>
                <w:b w:val="0"/>
                <w:bCs/>
                <w:color w:val="auto"/>
                <w:kern w:val="0"/>
                <w:sz w:val="21"/>
                <w:szCs w:val="21"/>
                <w:highlight w:val="none"/>
                <w:lang w:eastAsia="zh-CN"/>
              </w:rPr>
              <w:t>环境空气</w:t>
            </w:r>
            <w:r>
              <w:rPr>
                <w:rFonts w:hint="default" w:ascii="Times New Roman" w:hAnsi="Times New Roman" w:eastAsia="黑体" w:cs="Times New Roman"/>
                <w:b w:val="0"/>
                <w:bCs/>
                <w:color w:val="auto"/>
                <w:kern w:val="0"/>
                <w:sz w:val="21"/>
                <w:szCs w:val="21"/>
                <w:highlight w:val="none"/>
              </w:rPr>
              <w:t>监测点位示意图</w:t>
            </w:r>
            <w:r>
              <w:rPr>
                <w:rFonts w:hint="default" w:ascii="Times New Roman" w:hAnsi="Times New Roman" w:cs="Times New Roman"/>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00" w:hRule="atLeast"/>
          <w:jc w:val="center"/>
        </w:trPr>
        <w:tc>
          <w:tcPr>
            <w:tcW w:w="622" w:type="dxa"/>
            <w:vAlign w:val="center"/>
          </w:tcPr>
          <w:p>
            <w:pPr>
              <w:spacing w:line="24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噪声监测点位示意图</w:t>
            </w:r>
          </w:p>
        </w:tc>
        <w:tc>
          <w:tcPr>
            <w:tcW w:w="7900" w:type="dxa"/>
            <w:vAlign w:val="center"/>
          </w:tcPr>
          <w:p>
            <w:pPr>
              <w:widowControl/>
              <w:jc w:val="left"/>
              <w:rPr>
                <w:rFonts w:hint="default" w:ascii="Times New Roman" w:hAnsi="Times New Roman" w:cs="Times New Roman"/>
                <w:color w:val="auto"/>
                <w:sz w:val="24"/>
                <w:szCs w:val="24"/>
                <w:highlight w:val="none"/>
              </w:rPr>
            </w:pPr>
            <w:r>
              <w:rPr>
                <w:rFonts w:ascii="宋体" w:hAnsi="宋体" w:eastAsia="宋体" w:cs="宋体"/>
                <w:color w:val="auto"/>
                <w:kern w:val="0"/>
                <w:sz w:val="24"/>
                <w:szCs w:val="24"/>
                <w:highlight w:val="none"/>
                <w:lang w:val="en-US" w:eastAsia="zh-CN" w:bidi="ar-SA"/>
              </w:rPr>
              <w:pict>
                <v:shape id="_x0000_i1032" o:spt="75" type="#_x0000_t75" style="height:296.1pt;width:382.5pt;" fillcolor="#FFFFFF" filled="f" o:preferrelative="t" stroked="f" coordsize="21600,21600">
                  <v:path/>
                  <v:fill on="f" color2="#FFFFFF" focussize="0,0"/>
                  <v:stroke on="f"/>
                  <v:imagedata r:id="rId16" gain="65536f" blacklevel="0f" gamma="0" o:title=""/>
                  <o:lock v:ext="edit" position="f" selection="f" grouping="f" rotation="f" cropping="f" text="f" aspectratio="t"/>
                  <w10:wrap type="none"/>
                  <w10:anchorlock/>
                </v:shape>
              </w:pict>
            </w:r>
          </w:p>
          <w:p>
            <w:pPr>
              <w:spacing w:line="360" w:lineRule="auto"/>
              <w:jc w:val="center"/>
              <w:outlineLvl w:val="2"/>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黑体" w:cs="Times New Roman"/>
                <w:b w:val="0"/>
                <w:bCs/>
                <w:color w:val="auto"/>
                <w:kern w:val="0"/>
                <w:sz w:val="21"/>
                <w:szCs w:val="21"/>
                <w:highlight w:val="none"/>
              </w:rPr>
              <w:t>图3-2  噪声监测点位示意图</w:t>
            </w:r>
          </w:p>
        </w:tc>
      </w:tr>
    </w:tbl>
    <w:p>
      <w:pPr>
        <w:pStyle w:val="6"/>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35" w:name="_Toc515715404"/>
      <w:bookmarkStart w:id="36" w:name="_Toc30313_WPSOffice_Level1"/>
      <w:bookmarkStart w:id="37" w:name="_Toc26811_WPSOffice_Level1"/>
      <w:bookmarkStart w:id="38" w:name="_Toc16434_WPSOffice_Level1"/>
      <w:r>
        <w:rPr>
          <w:rFonts w:hint="default" w:ascii="Times New Roman" w:hAnsi="Times New Roman" w:cs="Times New Roman"/>
          <w:b/>
          <w:color w:val="auto"/>
          <w:kern w:val="0"/>
          <w:sz w:val="30"/>
          <w:szCs w:val="22"/>
          <w:highlight w:val="none"/>
        </w:rPr>
        <w:t>表四 建设项目环境影响报告表主要结论及审批部门审批决定</w:t>
      </w:r>
      <w:bookmarkEnd w:id="35"/>
      <w:bookmarkEnd w:id="36"/>
      <w:bookmarkEnd w:id="37"/>
      <w:bookmarkEnd w:id="38"/>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773"/>
        <w:gridCol w:w="2859"/>
        <w:gridCol w:w="2930"/>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22" w:hRule="atLeast"/>
          <w:jc w:val="center"/>
        </w:trPr>
        <w:tc>
          <w:tcPr>
            <w:tcW w:w="758" w:type="dxa"/>
            <w:vAlign w:val="center"/>
          </w:tcPr>
          <w:p>
            <w:pPr>
              <w:spacing w:line="36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建设项目环境影响报告表主要结论</w:t>
            </w:r>
          </w:p>
        </w:tc>
        <w:tc>
          <w:tcPr>
            <w:tcW w:w="7764" w:type="dxa"/>
            <w:gridSpan w:val="4"/>
            <w:vAlign w:val="top"/>
          </w:tcPr>
          <w:p>
            <w:pPr>
              <w:widowControl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一、结论</w:t>
            </w:r>
          </w:p>
          <w:p>
            <w:pPr>
              <w:widowControl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黑龙江省二道河农场污水处理工程符合二道河农场城镇总体规划的要求以及国家关于城镇污水处理的环保政策。采用技术较成熟的CASS污水处理工艺，在现有建设用地空地上建设，可充分利用当地的土地资源，符合当地城乡发展建设规划、土地利用规划要求。</w:t>
            </w:r>
          </w:p>
          <w:p>
            <w:pPr>
              <w:widowControl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项目运行后，可大大减少污水中污染物排放量，达到GB18918-2002《城镇污水处理厂污染物排放标准》一级B标准要求，对区域地表水、地下水环境质量的改善，有积极作用，符合清洁生产要求。</w:t>
            </w:r>
          </w:p>
          <w:p>
            <w:pPr>
              <w:widowControl w:val="0"/>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总之，从环境保护角度看，该项目的建设运行将带来良好的环境效益和经济效益，项目建设可行。</w:t>
            </w:r>
          </w:p>
          <w:p>
            <w:pPr>
              <w:widowControl w:val="0"/>
              <w:numPr>
                <w:ilvl w:val="0"/>
                <w:numId w:val="2"/>
              </w:numPr>
              <w:spacing w:line="360" w:lineRule="auto"/>
              <w:ind w:firstLine="480" w:firstLineChars="200"/>
              <w:jc w:val="both"/>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环保要求</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在企业内部加强环境保护管理机构建设，建立和健全环保制度，由专人负责和监部“三同时”的落实，并配备专职人员，杜绝污染事故的发生。</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2"/>
                <w:sz w:val="24"/>
                <w:szCs w:val="24"/>
                <w:highlight w:val="none"/>
                <w:lang w:eastAsia="zh-CN" w:bidi="ar-SA"/>
              </w:rPr>
            </w:pPr>
            <w:r>
              <w:rPr>
                <w:rFonts w:hint="default" w:ascii="Times New Roman" w:hAnsi="Times New Roman" w:eastAsia="宋体" w:cs="Times New Roman"/>
                <w:color w:val="auto"/>
                <w:kern w:val="2"/>
                <w:sz w:val="24"/>
                <w:szCs w:val="24"/>
                <w:highlight w:val="none"/>
                <w:lang w:val="en-US" w:eastAsia="zh-CN" w:bidi="ar-SA"/>
              </w:rPr>
              <w:t>加强对废水处理设施的管理和维护，严格执行操作规程，保证其正常运转和</w:t>
            </w:r>
            <w:r>
              <w:rPr>
                <w:rFonts w:hint="eastAsia" w:ascii="Times New Roman" w:hAnsi="Times New Roman" w:eastAsia="宋体" w:cs="Times New Roman"/>
                <w:color w:val="auto"/>
                <w:kern w:val="2"/>
                <w:sz w:val="24"/>
                <w:szCs w:val="24"/>
                <w:highlight w:val="none"/>
                <w:lang w:val="en-US" w:eastAsia="zh-CN" w:bidi="ar-SA"/>
              </w:rPr>
              <w:t>处理效果</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2"/>
                <w:sz w:val="24"/>
                <w:szCs w:val="24"/>
                <w:highlight w:val="none"/>
                <w:lang w:eastAsia="zh-CN" w:bidi="ar-SA"/>
              </w:rPr>
            </w:pPr>
            <w:r>
              <w:rPr>
                <w:rFonts w:hint="default" w:ascii="Times New Roman" w:hAnsi="Times New Roman" w:eastAsia="宋体" w:cs="Times New Roman"/>
                <w:color w:val="auto"/>
                <w:kern w:val="2"/>
                <w:sz w:val="24"/>
                <w:szCs w:val="24"/>
                <w:highlight w:val="none"/>
                <w:lang w:val="en-US" w:eastAsia="zh-CN" w:bidi="ar-SA"/>
              </w:rPr>
              <w:t>按照GB8978-1996关于排入设置二级污水处理厂的城镇排水系统的污水，执行三级标准的规定，控制污水厂进水水质，保证污水处理厂正常运行。杜绝废水事故排放。</w:t>
            </w:r>
            <w:r>
              <w:rPr>
                <w:rFonts w:hint="eastAsia" w:ascii="Times New Roman" w:hAnsi="Times New Roman" w:eastAsia="宋体" w:cs="Times New Roman"/>
                <w:color w:val="auto"/>
                <w:kern w:val="2"/>
                <w:sz w:val="24"/>
                <w:szCs w:val="24"/>
                <w:highlight w:val="none"/>
                <w:lang w:val="en-US" w:eastAsia="zh-CN" w:bidi="ar-SA"/>
              </w:rPr>
              <w:t>防止</w:t>
            </w:r>
            <w:r>
              <w:rPr>
                <w:rFonts w:hint="default" w:ascii="Times New Roman" w:hAnsi="Times New Roman" w:eastAsia="宋体" w:cs="Times New Roman"/>
                <w:color w:val="auto"/>
                <w:kern w:val="2"/>
                <w:sz w:val="24"/>
                <w:szCs w:val="24"/>
                <w:highlight w:val="none"/>
                <w:lang w:val="en-US" w:eastAsia="zh-CN" w:bidi="ar-SA"/>
              </w:rPr>
              <w:t>对周围环境造成污染。</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2"/>
                <w:sz w:val="24"/>
                <w:szCs w:val="24"/>
                <w:highlight w:val="none"/>
                <w:lang w:eastAsia="zh-CN" w:bidi="ar-SA"/>
              </w:rPr>
            </w:pPr>
            <w:r>
              <w:rPr>
                <w:rFonts w:hint="default" w:ascii="Times New Roman" w:hAnsi="Times New Roman" w:eastAsia="宋体" w:cs="Times New Roman"/>
                <w:color w:val="auto"/>
                <w:kern w:val="2"/>
                <w:sz w:val="24"/>
                <w:szCs w:val="24"/>
                <w:highlight w:val="none"/>
                <w:lang w:val="en-US" w:eastAsia="zh-CN" w:bidi="ar-SA"/>
              </w:rPr>
              <w:t>为防止对区域地下水环境造成污染，应采取必要的</w:t>
            </w:r>
            <w:r>
              <w:rPr>
                <w:rFonts w:hint="eastAsia" w:cs="Times New Roman"/>
                <w:color w:val="auto"/>
                <w:kern w:val="2"/>
                <w:sz w:val="24"/>
                <w:szCs w:val="24"/>
                <w:highlight w:val="none"/>
                <w:lang w:val="en-US" w:eastAsia="zh-CN" w:bidi="ar-SA"/>
              </w:rPr>
              <w:t>防渗</w:t>
            </w:r>
            <w:r>
              <w:rPr>
                <w:rFonts w:hint="default" w:ascii="Times New Roman" w:hAnsi="Times New Roman" w:eastAsia="宋体" w:cs="Times New Roman"/>
                <w:color w:val="auto"/>
                <w:kern w:val="2"/>
                <w:sz w:val="24"/>
                <w:szCs w:val="24"/>
                <w:highlight w:val="none"/>
                <w:lang w:val="en-US" w:eastAsia="zh-CN" w:bidi="ar-SA"/>
              </w:rPr>
              <w:t>措施。</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2"/>
                <w:sz w:val="24"/>
                <w:szCs w:val="24"/>
                <w:highlight w:val="none"/>
                <w:lang w:eastAsia="zh-CN" w:bidi="ar-SA"/>
              </w:rPr>
            </w:pPr>
            <w:r>
              <w:rPr>
                <w:rFonts w:hint="default" w:ascii="Times New Roman" w:hAnsi="Times New Roman" w:eastAsia="宋体" w:cs="Times New Roman"/>
                <w:color w:val="auto"/>
                <w:kern w:val="2"/>
                <w:sz w:val="24"/>
                <w:szCs w:val="24"/>
                <w:highlight w:val="none"/>
                <w:lang w:val="en-US" w:eastAsia="zh-CN" w:bidi="ar-SA"/>
              </w:rPr>
              <w:t>对主要产噪部位采取减振、车间密封、加强绿化等措施，确保厂界</w:t>
            </w:r>
            <w:r>
              <w:rPr>
                <w:rFonts w:hint="eastAsia" w:cs="Times New Roman"/>
                <w:color w:val="auto"/>
                <w:kern w:val="2"/>
                <w:sz w:val="24"/>
                <w:szCs w:val="24"/>
                <w:highlight w:val="none"/>
                <w:lang w:val="en-US" w:eastAsia="zh-CN" w:bidi="ar-SA"/>
              </w:rPr>
              <w:t>噪声</w:t>
            </w:r>
            <w:r>
              <w:rPr>
                <w:rFonts w:hint="default" w:ascii="Times New Roman" w:hAnsi="Times New Roman" w:eastAsia="宋体" w:cs="Times New Roman"/>
                <w:color w:val="auto"/>
                <w:kern w:val="2"/>
                <w:sz w:val="24"/>
                <w:szCs w:val="24"/>
                <w:highlight w:val="none"/>
                <w:lang w:val="en-US" w:eastAsia="zh-CN" w:bidi="ar-SA"/>
              </w:rPr>
              <w:t>达标，防止对周围生物造成影响。</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购置和配备相应的检测设备，及时检验污水处理设施的运行效果，并接受上级都保部门的监督检查。</w:t>
            </w:r>
          </w:p>
          <w:p>
            <w:pPr>
              <w:widowControl w:val="0"/>
              <w:numPr>
                <w:ilvl w:val="0"/>
                <w:numId w:val="3"/>
              </w:numPr>
              <w:wordWrap/>
              <w:adjustRightInd/>
              <w:snapToGrid/>
              <w:spacing w:line="360" w:lineRule="auto"/>
              <w:ind w:firstLine="480" w:firstLineChars="200"/>
              <w:jc w:val="both"/>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2"/>
                <w:sz w:val="24"/>
                <w:szCs w:val="24"/>
                <w:highlight w:val="none"/>
                <w:lang w:val="en-US" w:eastAsia="zh-CN" w:bidi="ar-SA"/>
              </w:rPr>
              <w:t>施工期严格执行相应的环保要求，及时恢复地表撞核，防止水土流失。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41" w:hRule="atLeast"/>
          <w:jc w:val="center"/>
        </w:trPr>
        <w:tc>
          <w:tcPr>
            <w:tcW w:w="758" w:type="dxa"/>
            <w:vAlign w:val="center"/>
          </w:tcPr>
          <w:p>
            <w:pPr>
              <w:spacing w:line="36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环境报告表的审批意见</w:t>
            </w:r>
          </w:p>
        </w:tc>
        <w:tc>
          <w:tcPr>
            <w:tcW w:w="7764" w:type="dxa"/>
            <w:gridSpan w:val="4"/>
            <w:vAlign w:val="top"/>
          </w:tcPr>
          <w:p>
            <w:pPr>
              <w:widowControl/>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审批意见：</w:t>
            </w:r>
          </w:p>
          <w:p>
            <w:pPr>
              <w:widowControl/>
              <w:spacing w:line="360" w:lineRule="auto"/>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关于二道河农场污水处理工程建设项目环境影响报告表审批意见</w:t>
            </w:r>
          </w:p>
          <w:p>
            <w:pPr>
              <w:widowControl/>
              <w:spacing w:line="360" w:lineRule="auto"/>
              <w:jc w:val="righ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黑垦环审</w:t>
            </w:r>
            <w:r>
              <w:rPr>
                <w:rFonts w:hint="default" w:ascii="Times New Roman" w:hAnsi="Times New Roman" w:eastAsia="宋体" w:cs="Times New Roman"/>
                <w:color w:val="auto"/>
                <w:sz w:val="24"/>
                <w:szCs w:val="24"/>
                <w:highlight w:val="none"/>
              </w:rPr>
              <w:t>[20</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77</w:t>
            </w:r>
            <w:r>
              <w:rPr>
                <w:rFonts w:hint="default" w:ascii="Times New Roman" w:hAnsi="Times New Roman" w:eastAsia="宋体" w:cs="Times New Roman"/>
                <w:color w:val="auto"/>
                <w:sz w:val="24"/>
                <w:szCs w:val="24"/>
                <w:highlight w:val="none"/>
                <w:lang w:val="en-US" w:eastAsia="zh-CN"/>
              </w:rPr>
              <w:t>号</w:t>
            </w:r>
          </w:p>
          <w:p>
            <w:pPr>
              <w:widowControl/>
              <w:spacing w:line="360" w:lineRule="auto"/>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二道河农场：</w:t>
            </w:r>
          </w:p>
          <w:p>
            <w:pPr>
              <w:widowControl/>
              <w:wordWrap/>
              <w:adjustRightInd/>
              <w:snapToGrid/>
              <w:spacing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你单位报送的《二道河农场污水处理工程建设项目环境影响报告表》（以下简称“报告表”）收悉，经研究，批复如下：</w:t>
            </w:r>
          </w:p>
          <w:p>
            <w:pPr>
              <w:widowControl/>
              <w:numPr>
                <w:ilvl w:val="0"/>
                <w:numId w:val="4"/>
              </w:numPr>
              <w:wordWrap/>
              <w:adjustRightInd/>
              <w:snapToGrid/>
              <w:spacing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项目建设地点为建三江管理局二道河农场场部东北部规划区，建设性质为新建，项目投资1800万元，</w:t>
            </w:r>
            <w:r>
              <w:rPr>
                <w:rFonts w:hint="default" w:ascii="Times New Roman" w:hAnsi="Times New Roman" w:eastAsia="宋体" w:cs="Times New Roman"/>
                <w:color w:val="auto"/>
                <w:sz w:val="24"/>
                <w:szCs w:val="24"/>
                <w:highlight w:val="none"/>
                <w:lang w:eastAsia="zh-CN"/>
              </w:rPr>
              <w:t>占地</w:t>
            </w:r>
            <w:r>
              <w:rPr>
                <w:rFonts w:hint="default" w:ascii="Times New Roman" w:hAnsi="Times New Roman" w:eastAsia="宋体" w:cs="Times New Roman"/>
                <w:color w:val="auto"/>
                <w:sz w:val="24"/>
                <w:szCs w:val="24"/>
                <w:highlight w:val="none"/>
              </w:rPr>
              <w:t>面积5000平方米，建设规模：采用CASS法，处理规模为1500m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rPr>
              <w:t>/d的污水处理厂，排水管网长度为10km，经预测本项目污染物COD排放量32.85t/a，氨氮排放4.38</w:t>
            </w:r>
            <w:r>
              <w:rPr>
                <w:rFonts w:hint="default" w:ascii="Times New Roman" w:hAnsi="Times New Roman" w:eastAsia="宋体" w:cs="Times New Roman"/>
                <w:color w:val="auto"/>
                <w:sz w:val="24"/>
                <w:szCs w:val="24"/>
                <w:highlight w:val="none"/>
                <w:lang w:val="en-US" w:eastAsia="zh-CN"/>
              </w:rPr>
              <w:t>t</w:t>
            </w:r>
            <w:r>
              <w:rPr>
                <w:rFonts w:hint="default" w:ascii="Times New Roman" w:hAnsi="Times New Roman" w:eastAsia="宋体" w:cs="Times New Roman"/>
                <w:color w:val="auto"/>
                <w:sz w:val="24"/>
                <w:szCs w:val="24"/>
                <w:highlight w:val="none"/>
              </w:rPr>
              <w:t>/a</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我局原则同意该项目按照《报告表》所列的建设地点、建设规模和采取约环境保护措施进行项目建设。</w:t>
            </w:r>
          </w:p>
          <w:p>
            <w:pPr>
              <w:widowControl/>
              <w:numPr>
                <w:ilvl w:val="0"/>
                <w:numId w:val="4"/>
              </w:numPr>
              <w:wordWrap/>
              <w:adjustRightInd/>
              <w:snapToGrid/>
              <w:spacing w:line="360" w:lineRule="auto"/>
              <w:ind w:firstLine="480" w:firstLineChars="200"/>
              <w:jc w:val="left"/>
              <w:textAlignment w:val="auto"/>
              <w:outlineLvl w:val="9"/>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项目建设与运行中应注意做好以下工作：</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加强施工期</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环境管理，认真落实《报告表》提出的各项环保措施，减少施工期扬尘、噪声、废水等对环境和生态的影响：</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农场场部生活污水处理后，出水水质达到《城镇污水处理厂污染物排放标准》（GB18918-2002）一级B</w:t>
            </w:r>
            <w:r>
              <w:rPr>
                <w:rFonts w:hint="default" w:ascii="Times New Roman" w:hAnsi="Times New Roman" w:eastAsia="宋体" w:cs="Times New Roman"/>
                <w:color w:val="auto"/>
                <w:sz w:val="24"/>
                <w:szCs w:val="24"/>
                <w:highlight w:val="none"/>
                <w:lang w:eastAsia="zh-CN"/>
              </w:rPr>
              <w:t>标准；</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CASS反应池等工序产生的</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采取封闭等措施处理后排放，确保所排废气达到《城镇污水处理厂污染物排放标准》（GB18918-2002</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表4二级标准要求；</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选用低噪声设备，对高噪声设备采取隔音减振、加强绿化等措施，使</w:t>
            </w:r>
            <w:r>
              <w:rPr>
                <w:rFonts w:hint="default" w:ascii="Times New Roman" w:hAnsi="Times New Roman" w:eastAsia="宋体" w:cs="Times New Roman"/>
                <w:color w:val="auto"/>
                <w:sz w:val="24"/>
                <w:szCs w:val="24"/>
                <w:highlight w:val="none"/>
                <w:lang w:eastAsia="zh-CN"/>
              </w:rPr>
              <w:t>厂界</w:t>
            </w:r>
            <w:r>
              <w:rPr>
                <w:rFonts w:hint="default" w:ascii="Times New Roman" w:hAnsi="Times New Roman" w:eastAsia="宋体" w:cs="Times New Roman"/>
                <w:color w:val="auto"/>
                <w:sz w:val="24"/>
                <w:szCs w:val="24"/>
                <w:highlight w:val="none"/>
              </w:rPr>
              <w:t>噪声满足《工业企业厂界环境噪声排放标准》（GB12348-2008）2类标准；</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认真落实《报告表》提出的各项固体废物处置措施；</w:t>
            </w:r>
          </w:p>
          <w:p>
            <w:pPr>
              <w:widowControl/>
              <w:numPr>
                <w:ilvl w:val="0"/>
                <w:numId w:val="5"/>
              </w:numPr>
              <w:wordWrap/>
              <w:adjustRightInd/>
              <w:snapToGrid/>
              <w:spacing w:line="360" w:lineRule="auto"/>
              <w:ind w:firstLine="480" w:firstLineChars="200"/>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项目建设必须严格执行环境保护措施与主体工程同时设计、</w:t>
            </w:r>
            <w:r>
              <w:rPr>
                <w:rFonts w:hint="default" w:ascii="Times New Roman" w:hAnsi="Times New Roman" w:eastAsia="宋体" w:cs="Times New Roman"/>
                <w:color w:val="auto"/>
                <w:sz w:val="24"/>
                <w:szCs w:val="24"/>
                <w:highlight w:val="none"/>
                <w:lang w:eastAsia="zh-CN"/>
              </w:rPr>
              <w:t>同时施工</w:t>
            </w:r>
            <w:r>
              <w:rPr>
                <w:rFonts w:hint="default" w:ascii="Times New Roman" w:hAnsi="Times New Roman" w:eastAsia="宋体" w:cs="Times New Roman"/>
                <w:color w:val="auto"/>
                <w:sz w:val="24"/>
                <w:szCs w:val="24"/>
                <w:highlight w:val="none"/>
              </w:rPr>
              <w:t>、同时投入使用的环境保护“三同时”制度，项目竣工后，必须按规定程序向我局中请环境保护验收，</w:t>
            </w:r>
            <w:r>
              <w:rPr>
                <w:rFonts w:hint="default" w:ascii="Times New Roman" w:hAnsi="Times New Roman" w:eastAsia="宋体" w:cs="Times New Roman"/>
                <w:color w:val="auto"/>
                <w:sz w:val="24"/>
                <w:szCs w:val="24"/>
                <w:highlight w:val="none"/>
                <w:lang w:eastAsia="zh-CN"/>
              </w:rPr>
              <w:t>验收</w:t>
            </w:r>
            <w:r>
              <w:rPr>
                <w:rFonts w:hint="default" w:ascii="Times New Roman" w:hAnsi="Times New Roman" w:eastAsia="宋体" w:cs="Times New Roman"/>
                <w:color w:val="auto"/>
                <w:sz w:val="24"/>
                <w:szCs w:val="24"/>
                <w:highlight w:val="none"/>
              </w:rPr>
              <w:t>合格后，项目方可正式投入运行</w:t>
            </w:r>
            <w:r>
              <w:rPr>
                <w:rFonts w:hint="eastAsia" w:ascii="Times New Roman" w:hAnsi="Times New Roman" w:eastAsia="宋体" w:cs="Times New Roman"/>
                <w:color w:val="auto"/>
                <w:sz w:val="24"/>
                <w:szCs w:val="24"/>
                <w:highlight w:val="none"/>
                <w:lang w:eastAsia="zh-CN"/>
              </w:rPr>
              <w:t>。</w:t>
            </w:r>
          </w:p>
          <w:p>
            <w:pPr>
              <w:widowControl/>
              <w:numPr>
                <w:ilvl w:val="0"/>
                <w:numId w:val="4"/>
              </w:numPr>
              <w:wordWrap/>
              <w:adjustRightInd/>
              <w:snapToGrid/>
              <w:spacing w:line="360" w:lineRule="auto"/>
              <w:ind w:left="0" w:leftChars="0" w:firstLine="480" w:firstLineChars="200"/>
              <w:jc w:val="left"/>
              <w:textAlignment w:val="auto"/>
              <w:outlineLvl w:val="9"/>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我局委托建三江环保分局负责项目施工期间的环境保护监督检查工作。</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rPr>
              <w:t>请你</w:t>
            </w:r>
            <w:r>
              <w:rPr>
                <w:rFonts w:hint="default" w:ascii="Times New Roman" w:hAnsi="Times New Roman" w:eastAsia="宋体" w:cs="Times New Roman"/>
                <w:color w:val="auto"/>
                <w:sz w:val="24"/>
                <w:szCs w:val="24"/>
                <w:highlight w:val="none"/>
                <w:lang w:eastAsia="zh-CN"/>
              </w:rPr>
              <w:t>单位</w:t>
            </w:r>
            <w:r>
              <w:rPr>
                <w:rFonts w:hint="default" w:ascii="Times New Roman" w:hAnsi="Times New Roman" w:eastAsia="宋体" w:cs="Times New Roman"/>
                <w:color w:val="auto"/>
                <w:sz w:val="24"/>
                <w:szCs w:val="24"/>
                <w:highlight w:val="none"/>
              </w:rPr>
              <w:t>在收到审能意见后20日内，将该工程的环境影响报告表及批复送</w:t>
            </w:r>
            <w:r>
              <w:rPr>
                <w:rFonts w:hint="eastAsia" w:cs="Times New Roman"/>
                <w:color w:val="auto"/>
                <w:sz w:val="24"/>
                <w:szCs w:val="24"/>
                <w:highlight w:val="none"/>
                <w:lang w:eastAsia="zh-CN"/>
              </w:rPr>
              <w:t>建</w:t>
            </w:r>
            <w:r>
              <w:rPr>
                <w:rFonts w:hint="default" w:ascii="Times New Roman" w:hAnsi="Times New Roman" w:eastAsia="宋体" w:cs="Times New Roman"/>
                <w:color w:val="auto"/>
                <w:sz w:val="24"/>
                <w:szCs w:val="24"/>
                <w:highlight w:val="none"/>
              </w:rPr>
              <w:t>三江环保分局，并接受其监督管理。</w:t>
            </w:r>
          </w:p>
          <w:p>
            <w:pPr>
              <w:widowControl/>
              <w:numPr>
                <w:ilvl w:val="0"/>
                <w:numId w:val="0"/>
              </w:numPr>
              <w:spacing w:line="360" w:lineRule="auto"/>
              <w:ind w:leftChars="0"/>
              <w:jc w:val="right"/>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lang w:eastAsia="zh-CN"/>
              </w:rPr>
              <w:t>二〇一二年八</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lang w:eastAsia="zh-CN"/>
              </w:rPr>
              <w:t>十三</w:t>
            </w:r>
            <w:r>
              <w:rPr>
                <w:rFonts w:hint="default" w:ascii="Times New Roman" w:hAnsi="Times New Roman" w:eastAsia="宋体" w:cs="Times New Roman"/>
                <w:color w:val="auto"/>
                <w:sz w:val="24"/>
                <w:szCs w:val="24"/>
                <w:highlight w:val="none"/>
              </w:rPr>
              <w:t>日</w:t>
            </w:r>
          </w:p>
          <w:p>
            <w:pPr>
              <w:widowControl w:val="0"/>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0" w:hRule="atLeast"/>
          <w:jc w:val="center"/>
        </w:trPr>
        <w:tc>
          <w:tcPr>
            <w:tcW w:w="758" w:type="dxa"/>
            <w:vMerge w:val="restart"/>
            <w:vAlign w:val="center"/>
          </w:tcPr>
          <w:p>
            <w:pPr>
              <w:spacing w:line="36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环评批复意见落实情况</w:t>
            </w:r>
          </w:p>
        </w:tc>
        <w:tc>
          <w:tcPr>
            <w:tcW w:w="773"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序号</w:t>
            </w:r>
          </w:p>
        </w:tc>
        <w:tc>
          <w:tcPr>
            <w:tcW w:w="2859"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原批复意见</w:t>
            </w:r>
          </w:p>
        </w:tc>
        <w:tc>
          <w:tcPr>
            <w:tcW w:w="2930"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实际落实情况</w:t>
            </w:r>
          </w:p>
        </w:tc>
        <w:tc>
          <w:tcPr>
            <w:tcW w:w="1202"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90" w:hRule="atLeast"/>
          <w:jc w:val="center"/>
        </w:trPr>
        <w:tc>
          <w:tcPr>
            <w:tcW w:w="758" w:type="dxa"/>
            <w:vMerge w:val="continue"/>
            <w:vAlign w:val="center"/>
          </w:tcPr>
          <w:p>
            <w:pPr>
              <w:spacing w:line="360" w:lineRule="auto"/>
              <w:jc w:val="center"/>
              <w:rPr>
                <w:rFonts w:hint="default" w:ascii="Times New Roman" w:hAnsi="Times New Roman" w:cs="Times New Roman"/>
                <w:color w:val="auto"/>
                <w:sz w:val="24"/>
                <w:szCs w:val="24"/>
                <w:highlight w:val="none"/>
              </w:rPr>
            </w:pPr>
          </w:p>
        </w:tc>
        <w:tc>
          <w:tcPr>
            <w:tcW w:w="773" w:type="dxa"/>
            <w:vAlign w:val="center"/>
          </w:tcPr>
          <w:p>
            <w:pPr>
              <w:widowControl/>
              <w:numPr>
                <w:ilvl w:val="0"/>
                <w:numId w:val="0"/>
              </w:numPr>
              <w:wordWrap/>
              <w:adjustRightInd/>
              <w:snapToGrid/>
              <w:spacing w:line="360" w:lineRule="auto"/>
              <w:jc w:val="center"/>
              <w:textAlignment w:val="auto"/>
              <w:outlineLvl w:val="9"/>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项目建设地点为建三江管理局二道河农场场部东北部规划区，建设性质为新建，项目投资1800万元，占地面积5000平方米，建设规模：采用CASS法，处理规模为1500m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/d的污水处理厂，排水管网长度为10km，经预测本项目污染物COD排放量32.85t/a，氨氮排放4.38t/a。</w:t>
            </w:r>
          </w:p>
        </w:tc>
        <w:tc>
          <w:tcPr>
            <w:tcW w:w="2930" w:type="dxa"/>
            <w:vAlign w:val="center"/>
          </w:tcPr>
          <w:p>
            <w:pPr>
              <w:spacing w:line="360" w:lineRule="auto"/>
              <w:jc w:val="center"/>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项目建设地点为建三江管理局二道河农场场部东北部规划区，建设性质为新建，项目投资</w:t>
            </w:r>
            <w:r>
              <w:rPr>
                <w:rFonts w:hint="eastAsia" w:cs="Times New Roman"/>
                <w:color w:val="auto"/>
                <w:sz w:val="24"/>
                <w:szCs w:val="24"/>
                <w:highlight w:val="none"/>
                <w:lang w:val="en-US" w:eastAsia="zh-CN"/>
              </w:rPr>
              <w:t>1129</w:t>
            </w:r>
            <w:r>
              <w:rPr>
                <w:rFonts w:hint="default" w:ascii="Times New Roman" w:hAnsi="Times New Roman" w:eastAsia="宋体" w:cs="Times New Roman"/>
                <w:color w:val="auto"/>
                <w:sz w:val="24"/>
                <w:szCs w:val="24"/>
                <w:highlight w:val="none"/>
              </w:rPr>
              <w:t>万元，占地面积</w:t>
            </w:r>
            <w:r>
              <w:rPr>
                <w:rFonts w:hint="eastAsia" w:cs="Times New Roman"/>
                <w:color w:val="auto"/>
                <w:sz w:val="24"/>
                <w:szCs w:val="24"/>
                <w:highlight w:val="none"/>
                <w:lang w:val="en-US" w:eastAsia="zh-CN"/>
              </w:rPr>
              <w:t>2613</w:t>
            </w:r>
            <w:r>
              <w:rPr>
                <w:rFonts w:hint="default" w:ascii="Times New Roman" w:hAnsi="Times New Roman" w:eastAsia="宋体" w:cs="Times New Roman"/>
                <w:color w:val="auto"/>
                <w:sz w:val="24"/>
                <w:szCs w:val="24"/>
                <w:highlight w:val="none"/>
              </w:rPr>
              <w:t>平方米，建设规模：采用CASS法，处理规模为1500m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/d的污水处理厂，排水管网长度为10km，本项目污染物COD排放量</w:t>
            </w:r>
            <w:r>
              <w:rPr>
                <w:rFonts w:hint="eastAsia" w:cs="Times New Roman"/>
                <w:color w:val="auto"/>
                <w:sz w:val="24"/>
                <w:szCs w:val="24"/>
                <w:highlight w:val="none"/>
                <w:lang w:val="en-US" w:eastAsia="zh-CN"/>
              </w:rPr>
              <w:t>15.77</w:t>
            </w:r>
            <w:r>
              <w:rPr>
                <w:rFonts w:hint="default" w:ascii="Times New Roman" w:hAnsi="Times New Roman" w:eastAsia="宋体" w:cs="Times New Roman"/>
                <w:color w:val="auto"/>
                <w:sz w:val="24"/>
                <w:szCs w:val="24"/>
                <w:highlight w:val="none"/>
              </w:rPr>
              <w:t>t/a，氨氮排放</w:t>
            </w:r>
            <w:r>
              <w:rPr>
                <w:rFonts w:hint="eastAsia" w:cs="Times New Roman"/>
                <w:color w:val="auto"/>
                <w:sz w:val="24"/>
                <w:szCs w:val="24"/>
                <w:highlight w:val="none"/>
                <w:lang w:val="en-US" w:eastAsia="zh-CN"/>
              </w:rPr>
              <w:t>2.91</w:t>
            </w:r>
            <w:r>
              <w:rPr>
                <w:rFonts w:hint="default" w:ascii="Times New Roman" w:hAnsi="Times New Roman" w:eastAsia="宋体" w:cs="Times New Roman"/>
                <w:color w:val="auto"/>
                <w:sz w:val="24"/>
                <w:szCs w:val="24"/>
                <w:highlight w:val="none"/>
              </w:rPr>
              <w:t>t/a。</w:t>
            </w:r>
          </w:p>
        </w:tc>
        <w:tc>
          <w:tcPr>
            <w:tcW w:w="1202" w:type="dxa"/>
            <w:vAlign w:val="center"/>
          </w:tcPr>
          <w:p>
            <w:pPr>
              <w:spacing w:line="360" w:lineRule="auto"/>
              <w:jc w:val="center"/>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由于综合楼与综合处理车间合建，削减了总投资。监测阶段，污水处理厂废水处理量约为</w:t>
            </w:r>
            <w:r>
              <w:rPr>
                <w:rFonts w:hint="eastAsia" w:cs="Times New Roman"/>
                <w:color w:val="auto"/>
                <w:sz w:val="24"/>
                <w:szCs w:val="24"/>
                <w:highlight w:val="none"/>
                <w:lang w:val="en-US" w:eastAsia="zh-CN"/>
              </w:rPr>
              <w:t>1200</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w:t>
            </w:r>
            <w:r>
              <w:rPr>
                <w:rFonts w:hint="eastAsia" w:cs="Times New Roman"/>
                <w:color w:val="auto"/>
                <w:sz w:val="24"/>
                <w:szCs w:val="24"/>
                <w:highlight w:val="none"/>
                <w:lang w:eastAsia="zh-CN"/>
              </w:rPr>
              <w:t>，本项目总量核算以实际处理污水量为依据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59" w:hRule="atLeast"/>
          <w:jc w:val="center"/>
        </w:trPr>
        <w:tc>
          <w:tcPr>
            <w:tcW w:w="758" w:type="dxa"/>
            <w:vMerge w:val="continue"/>
            <w:vAlign w:val="center"/>
          </w:tcPr>
          <w:p>
            <w:pPr>
              <w:spacing w:line="360" w:lineRule="auto"/>
              <w:jc w:val="center"/>
              <w:rPr>
                <w:rFonts w:hint="default" w:ascii="Times New Roman" w:hAnsi="Times New Roman" w:cs="Times New Roman"/>
                <w:color w:val="auto"/>
                <w:sz w:val="24"/>
                <w:szCs w:val="24"/>
                <w:highlight w:val="none"/>
              </w:rPr>
            </w:pPr>
          </w:p>
        </w:tc>
        <w:tc>
          <w:tcPr>
            <w:tcW w:w="773" w:type="dxa"/>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2</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加强施工期</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环境管理，认真落实《报告表》提出的各项环保措施，减少施工期扬尘、噪声、废水等对环境和生态的影响：</w:t>
            </w:r>
          </w:p>
        </w:tc>
        <w:tc>
          <w:tcPr>
            <w:tcW w:w="2930" w:type="dxa"/>
            <w:vAlign w:val="center"/>
          </w:tcPr>
          <w:p>
            <w:pPr>
              <w:widowControl w:val="0"/>
              <w:numPr>
                <w:ilvl w:val="0"/>
                <w:numId w:val="0"/>
              </w:numPr>
              <w:spacing w:line="360" w:lineRule="auto"/>
              <w:jc w:val="both"/>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本项目施工期未接到环保投诉。</w:t>
            </w:r>
          </w:p>
        </w:tc>
        <w:tc>
          <w:tcPr>
            <w:tcW w:w="1202" w:type="dxa"/>
            <w:vAlign w:val="center"/>
          </w:tcPr>
          <w:p>
            <w:pPr>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与环评批复要求一致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44" w:hRule="atLeast"/>
          <w:jc w:val="center"/>
        </w:trPr>
        <w:tc>
          <w:tcPr>
            <w:tcW w:w="758" w:type="dxa"/>
            <w:vMerge w:val="continue"/>
            <w:vAlign w:val="center"/>
          </w:tcPr>
          <w:p>
            <w:pPr>
              <w:spacing w:line="360" w:lineRule="auto"/>
              <w:jc w:val="center"/>
              <w:rPr>
                <w:rFonts w:hint="default" w:ascii="Times New Roman" w:hAnsi="Times New Roman" w:cs="Times New Roman"/>
                <w:color w:val="auto"/>
                <w:sz w:val="24"/>
                <w:szCs w:val="24"/>
                <w:highlight w:val="none"/>
              </w:rPr>
            </w:pPr>
          </w:p>
        </w:tc>
        <w:tc>
          <w:tcPr>
            <w:tcW w:w="773" w:type="dxa"/>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3</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农场场部生活污水处理后，出水水质达到《城镇污水处理厂污染物排放标准》（GB18918-2002）一级B</w:t>
            </w:r>
            <w:r>
              <w:rPr>
                <w:rFonts w:hint="default" w:ascii="Times New Roman" w:hAnsi="Times New Roman" w:eastAsia="宋体" w:cs="Times New Roman"/>
                <w:color w:val="auto"/>
                <w:sz w:val="24"/>
                <w:szCs w:val="24"/>
                <w:highlight w:val="none"/>
                <w:lang w:eastAsia="zh-CN"/>
              </w:rPr>
              <w:t>标准；</w:t>
            </w:r>
          </w:p>
        </w:tc>
        <w:tc>
          <w:tcPr>
            <w:tcW w:w="2930" w:type="dxa"/>
            <w:vAlign w:val="center"/>
          </w:tcPr>
          <w:p>
            <w:pPr>
              <w:widowControl w:val="0"/>
              <w:numPr>
                <w:ilvl w:val="0"/>
                <w:numId w:val="0"/>
              </w:numPr>
              <w:wordWrap/>
              <w:adjustRightInd/>
              <w:snapToGrid/>
              <w:spacing w:line="360" w:lineRule="auto"/>
              <w:jc w:val="both"/>
              <w:textAlignment w:val="auto"/>
              <w:outlineLvl w:val="9"/>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监测结果表明，二道河农场污水处理厂尾水</w:t>
            </w:r>
            <w:r>
              <w:rPr>
                <w:rFonts w:hint="default" w:ascii="Times New Roman" w:hAnsi="Times New Roman" w:eastAsia="宋体" w:cs="Times New Roman"/>
                <w:color w:val="auto"/>
                <w:sz w:val="24"/>
                <w:szCs w:val="24"/>
                <w:highlight w:val="none"/>
              </w:rPr>
              <w:t>水质达到《城镇污水处理厂污染物排放标准》（GB18918-2002）一级B</w:t>
            </w:r>
            <w:r>
              <w:rPr>
                <w:rFonts w:hint="default" w:ascii="Times New Roman" w:hAnsi="Times New Roman" w:eastAsia="宋体" w:cs="Times New Roman"/>
                <w:color w:val="auto"/>
                <w:sz w:val="24"/>
                <w:szCs w:val="24"/>
                <w:highlight w:val="none"/>
                <w:lang w:eastAsia="zh-CN"/>
              </w:rPr>
              <w:t>标准</w:t>
            </w:r>
            <w:r>
              <w:rPr>
                <w:rFonts w:hint="eastAsia" w:cs="Times New Roman"/>
                <w:color w:val="auto"/>
                <w:sz w:val="24"/>
                <w:szCs w:val="24"/>
                <w:highlight w:val="none"/>
                <w:lang w:eastAsia="zh-CN"/>
              </w:rPr>
              <w:t>；</w:t>
            </w:r>
          </w:p>
        </w:tc>
        <w:tc>
          <w:tcPr>
            <w:tcW w:w="1202" w:type="dxa"/>
            <w:vAlign w:val="center"/>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与环评批复要求一致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58" w:type="dxa"/>
            <w:vMerge w:val="restart"/>
            <w:vAlign w:val="center"/>
          </w:tcPr>
          <w:p>
            <w:pPr>
              <w:spacing w:line="360" w:lineRule="auto"/>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环评批复意见落实情况</w:t>
            </w:r>
          </w:p>
        </w:tc>
        <w:tc>
          <w:tcPr>
            <w:tcW w:w="773" w:type="dxa"/>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4</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CASS反应池等工序产生的</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采取封闭等措施处理后排放，确保所排废气达到《城镇污水处理厂污染物排放标准》（GB18918-2002</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表4二级标准要求</w:t>
            </w:r>
          </w:p>
        </w:tc>
        <w:tc>
          <w:tcPr>
            <w:tcW w:w="2930" w:type="dxa"/>
            <w:vAlign w:val="center"/>
          </w:tcPr>
          <w:p>
            <w:pPr>
              <w:spacing w:line="360" w:lineRule="auto"/>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监测结果表明，厂界</w:t>
            </w:r>
            <w:r>
              <w:rPr>
                <w:rFonts w:hint="default" w:ascii="Times New Roman" w:hAnsi="Times New Roman" w:eastAsia="宋体" w:cs="Times New Roman"/>
                <w:color w:val="auto"/>
                <w:sz w:val="24"/>
                <w:szCs w:val="24"/>
                <w:highlight w:val="none"/>
                <w:lang w:eastAsia="zh-CN"/>
              </w:rPr>
              <w:t>臭气</w:t>
            </w:r>
            <w:r>
              <w:rPr>
                <w:rFonts w:hint="default" w:ascii="Times New Roman" w:hAnsi="Times New Roman" w:eastAsia="宋体" w:cs="Times New Roman"/>
                <w:color w:val="auto"/>
                <w:sz w:val="24"/>
                <w:szCs w:val="24"/>
                <w:highlight w:val="none"/>
              </w:rPr>
              <w:t>采取封闭</w:t>
            </w:r>
            <w:r>
              <w:rPr>
                <w:rFonts w:hint="eastAsia" w:cs="Times New Roman"/>
                <w:color w:val="auto"/>
                <w:sz w:val="24"/>
                <w:szCs w:val="24"/>
                <w:highlight w:val="none"/>
                <w:lang w:eastAsia="zh-CN"/>
              </w:rPr>
              <w:t>、光催化氧化+活性炭</w:t>
            </w:r>
            <w:r>
              <w:rPr>
                <w:rFonts w:hint="default" w:ascii="Times New Roman" w:hAnsi="Times New Roman" w:eastAsia="宋体" w:cs="Times New Roman"/>
                <w:color w:val="auto"/>
                <w:sz w:val="24"/>
                <w:szCs w:val="24"/>
                <w:highlight w:val="none"/>
              </w:rPr>
              <w:t>措施处理后排放，所排废气达到《城镇污水处理厂污染物排放标准》（GB18918-2002</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表4二级标准要求</w:t>
            </w:r>
          </w:p>
        </w:tc>
        <w:tc>
          <w:tcPr>
            <w:tcW w:w="1202" w:type="dxa"/>
            <w:vAlign w:val="center"/>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与环评批复要求一致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1" w:hRule="atLeast"/>
          <w:jc w:val="center"/>
        </w:trPr>
        <w:tc>
          <w:tcPr>
            <w:tcW w:w="758" w:type="dxa"/>
            <w:vMerge w:val="continue"/>
            <w:vAlign w:val="center"/>
          </w:tcPr>
          <w:p>
            <w:pPr>
              <w:spacing w:line="360" w:lineRule="auto"/>
              <w:jc w:val="center"/>
              <w:rPr>
                <w:rFonts w:hint="default" w:ascii="Times New Roman" w:hAnsi="Times New Roman" w:cs="Times New Roman"/>
                <w:color w:val="auto"/>
                <w:sz w:val="24"/>
                <w:szCs w:val="24"/>
                <w:highlight w:val="none"/>
              </w:rPr>
            </w:pPr>
          </w:p>
        </w:tc>
        <w:tc>
          <w:tcPr>
            <w:tcW w:w="773" w:type="dxa"/>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5</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选用低噪声设备，对高噪声设备采取隔音减振、加强绿化等措施，使</w:t>
            </w:r>
            <w:r>
              <w:rPr>
                <w:rFonts w:hint="default" w:ascii="Times New Roman" w:hAnsi="Times New Roman" w:eastAsia="宋体" w:cs="Times New Roman"/>
                <w:color w:val="auto"/>
                <w:sz w:val="24"/>
                <w:szCs w:val="24"/>
                <w:highlight w:val="none"/>
                <w:lang w:eastAsia="zh-CN"/>
              </w:rPr>
              <w:t>厂界</w:t>
            </w:r>
            <w:r>
              <w:rPr>
                <w:rFonts w:hint="default" w:ascii="Times New Roman" w:hAnsi="Times New Roman" w:eastAsia="宋体" w:cs="Times New Roman"/>
                <w:color w:val="auto"/>
                <w:sz w:val="24"/>
                <w:szCs w:val="24"/>
                <w:highlight w:val="none"/>
              </w:rPr>
              <w:t>噪声满足《工业企业厂界环境噪声排放标准》（GB12348-2008）2类标准；</w:t>
            </w:r>
          </w:p>
        </w:tc>
        <w:tc>
          <w:tcPr>
            <w:tcW w:w="2930" w:type="dxa"/>
            <w:vAlign w:val="center"/>
          </w:tcPr>
          <w:p>
            <w:pPr>
              <w:spacing w:line="360" w:lineRule="auto"/>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本项目选取的均为低噪声设备，鼓风机3台，分别设置入口消音器及出口消音器共6个；污泥回流泵3台、剩余污泥泵3台、污水泵2台、潜水排污泵4台均设置减震基座；水泵等高噪声设备设置减震基座、风机设置消声器。</w:t>
            </w:r>
            <w:r>
              <w:rPr>
                <w:rFonts w:hint="default" w:ascii="Times New Roman" w:hAnsi="Times New Roman" w:eastAsia="宋体" w:cs="Times New Roman"/>
                <w:color w:val="auto"/>
                <w:sz w:val="24"/>
                <w:szCs w:val="24"/>
                <w:highlight w:val="none"/>
                <w:lang w:eastAsia="zh-CN"/>
              </w:rPr>
              <w:t>厂界</w:t>
            </w:r>
            <w:r>
              <w:rPr>
                <w:rFonts w:hint="default" w:ascii="Times New Roman" w:hAnsi="Times New Roman" w:eastAsia="宋体" w:cs="Times New Roman"/>
                <w:color w:val="auto"/>
                <w:sz w:val="24"/>
                <w:szCs w:val="24"/>
                <w:highlight w:val="none"/>
              </w:rPr>
              <w:t>噪声满足《工业企业厂界环境噪声排放标准》（GB12348-2008）2类标准；</w:t>
            </w:r>
          </w:p>
        </w:tc>
        <w:tc>
          <w:tcPr>
            <w:tcW w:w="1202" w:type="dxa"/>
            <w:vAlign w:val="center"/>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与环评批复要求一致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1" w:hRule="atLeast"/>
          <w:jc w:val="center"/>
        </w:trPr>
        <w:tc>
          <w:tcPr>
            <w:tcW w:w="758" w:type="dxa"/>
            <w:vMerge w:val="continue"/>
            <w:vAlign w:val="center"/>
          </w:tcPr>
          <w:p>
            <w:pPr>
              <w:spacing w:line="360" w:lineRule="auto"/>
              <w:jc w:val="center"/>
              <w:rPr>
                <w:rFonts w:hint="default" w:ascii="Times New Roman" w:hAnsi="Times New Roman" w:cs="Times New Roman"/>
                <w:color w:val="auto"/>
                <w:sz w:val="24"/>
                <w:szCs w:val="24"/>
                <w:highlight w:val="none"/>
              </w:rPr>
            </w:pPr>
          </w:p>
        </w:tc>
        <w:tc>
          <w:tcPr>
            <w:tcW w:w="773" w:type="dxa"/>
            <w:vAlign w:val="center"/>
          </w:tcPr>
          <w:p>
            <w:pPr>
              <w:jc w:val="center"/>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6</w:t>
            </w:r>
          </w:p>
        </w:tc>
        <w:tc>
          <w:tcPr>
            <w:tcW w:w="2859" w:type="dxa"/>
            <w:vAlign w:val="center"/>
          </w:tcPr>
          <w:p>
            <w:pPr>
              <w:widowControl/>
              <w:numPr>
                <w:ilvl w:val="0"/>
                <w:numId w:val="0"/>
              </w:numPr>
              <w:wordWrap/>
              <w:adjustRightInd/>
              <w:snapToGrid/>
              <w:spacing w:line="360" w:lineRule="auto"/>
              <w:jc w:val="left"/>
              <w:textAlignment w:val="auto"/>
              <w:outlineLvl w:val="9"/>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认真落实《报告表》提出的各项固体废物处置措施；</w:t>
            </w:r>
          </w:p>
        </w:tc>
        <w:tc>
          <w:tcPr>
            <w:tcW w:w="2930" w:type="dxa"/>
            <w:vAlign w:val="center"/>
          </w:tcPr>
          <w:p>
            <w:pPr>
              <w:spacing w:line="360" w:lineRule="auto"/>
              <w:rPr>
                <w:rFonts w:hint="default" w:ascii="Times New Roman" w:hAnsi="Times New Roman"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生活垃圾设置垃圾箱统一收集，和栅渣、沉砂一起由市政统一清运；污泥脱水达标后运送至黑龙江省建三江农垦华能热力有限公司焚烧处理；实验室废液交由</w:t>
            </w:r>
            <w:r>
              <w:rPr>
                <w:rFonts w:hint="eastAsia" w:cs="Times New Roman"/>
                <w:color w:val="auto"/>
                <w:sz w:val="24"/>
                <w:szCs w:val="24"/>
                <w:highlight w:val="none"/>
                <w:lang w:eastAsia="zh-CN"/>
              </w:rPr>
              <w:t>哈尔滨国环医疗固体废物无害化集中处置中心有限公司</w:t>
            </w:r>
            <w:r>
              <w:rPr>
                <w:rFonts w:hint="eastAsia" w:ascii="Times New Roman" w:hAnsi="Times New Roman" w:eastAsia="宋体" w:cs="Times New Roman"/>
                <w:color w:val="auto"/>
                <w:sz w:val="24"/>
                <w:szCs w:val="24"/>
                <w:highlight w:val="none"/>
                <w:lang w:eastAsia="zh-CN"/>
              </w:rPr>
              <w:t>处理。</w:t>
            </w:r>
          </w:p>
        </w:tc>
        <w:tc>
          <w:tcPr>
            <w:tcW w:w="1202" w:type="dxa"/>
            <w:vAlign w:val="center"/>
          </w:tcPr>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与环评批复要求一致</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39" w:name="_Toc20670_WPSOffice_Level1"/>
      <w:bookmarkStart w:id="40" w:name="_Toc515715405"/>
      <w:bookmarkStart w:id="41" w:name="_Toc18364_WPSOffice_Level1"/>
      <w:bookmarkStart w:id="42" w:name="_Toc8055_WPSOffice_Level1"/>
      <w:r>
        <w:rPr>
          <w:rFonts w:hint="default" w:ascii="Times New Roman" w:hAnsi="Times New Roman" w:cs="Times New Roman"/>
          <w:b/>
          <w:color w:val="auto"/>
          <w:kern w:val="0"/>
          <w:sz w:val="30"/>
          <w:szCs w:val="22"/>
          <w:highlight w:val="none"/>
        </w:rPr>
        <w:t>表五 验收监测质量控制和质量保证</w:t>
      </w:r>
      <w:bookmarkEnd w:id="39"/>
      <w:bookmarkEnd w:id="40"/>
      <w:bookmarkEnd w:id="41"/>
      <w:bookmarkEnd w:id="42"/>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45" w:hRule="atLeast"/>
        </w:trPr>
        <w:tc>
          <w:tcPr>
            <w:tcW w:w="8522" w:type="dxa"/>
            <w:vAlign w:val="top"/>
          </w:tcPr>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1、监测分析方法</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本次验收监测，分析方法按国家标准方法所列出的标准测试方法进行，具体详见表</w:t>
            </w:r>
            <w:r>
              <w:rPr>
                <w:rFonts w:hint="default" w:ascii="Times New Roman" w:hAnsi="Times New Roman" w:eastAsia="宋体" w:cs="Times New Roman"/>
                <w:color w:val="auto"/>
                <w:sz w:val="24"/>
                <w:szCs w:val="24"/>
                <w:highlight w:val="none"/>
                <w:lang w:eastAsia="zh-CN"/>
              </w:rPr>
              <w:t>5</w:t>
            </w:r>
            <w:r>
              <w:rPr>
                <w:rFonts w:hint="default" w:ascii="Times New Roman" w:hAnsi="Times New Roman" w:eastAsia="宋体" w:cs="Times New Roman"/>
                <w:color w:val="auto"/>
                <w:sz w:val="24"/>
                <w:szCs w:val="24"/>
                <w:highlight w:val="none"/>
                <w:lang w:val="zh-TW" w:eastAsia="zh-CN"/>
              </w:rPr>
              <w:t>-1。</w:t>
            </w:r>
          </w:p>
          <w:p>
            <w:pPr>
              <w:spacing w:line="360" w:lineRule="auto"/>
              <w:jc w:val="center"/>
              <w:outlineLvl w:val="2"/>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黑体" w:cs="Times New Roman"/>
                <w:b w:val="0"/>
                <w:bCs/>
                <w:color w:val="auto"/>
                <w:kern w:val="0"/>
                <w:sz w:val="21"/>
                <w:szCs w:val="21"/>
                <w:highlight w:val="none"/>
              </w:rPr>
              <w:t>表5-1  监测项目与分析方法</w:t>
            </w:r>
          </w:p>
          <w:tbl>
            <w:tblPr>
              <w:tblStyle w:val="11"/>
              <w:tblW w:w="829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160"/>
              <w:gridCol w:w="4359"/>
              <w:gridCol w:w="210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88" w:hRule="exact"/>
              </w:trPr>
              <w:tc>
                <w:tcPr>
                  <w:tcW w:w="673"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样品类别</w:t>
                  </w:r>
                </w:p>
              </w:tc>
              <w:tc>
                <w:tcPr>
                  <w:tcW w:w="1160"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分析项目</w:t>
                  </w:r>
                </w:p>
              </w:tc>
              <w:tc>
                <w:tcPr>
                  <w:tcW w:w="4359"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分析方法</w:t>
                  </w:r>
                </w:p>
              </w:tc>
              <w:tc>
                <w:tcPr>
                  <w:tcW w:w="2104"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方法标准号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restart"/>
                  <w:tcBorders>
                    <w:tl2br w:val="nil"/>
                    <w:tr2bl w:val="nil"/>
                  </w:tcBorders>
                  <w:vAlign w:val="center"/>
                </w:tcPr>
                <w:p>
                  <w:pPr>
                    <w:jc w:val="center"/>
                    <w:outlineLvl w:val="0"/>
                    <w:rPr>
                      <w:rFonts w:hint="default" w:ascii="Times New Roman" w:hAnsi="Times New Roman" w:eastAsia="仿宋" w:cs="Times New Roman"/>
                      <w:bCs/>
                      <w:color w:val="auto"/>
                      <w:sz w:val="21"/>
                      <w:szCs w:val="21"/>
                      <w:highlight w:val="none"/>
                    </w:rPr>
                  </w:pPr>
                  <w:r>
                    <w:rPr>
                      <w:rFonts w:hint="default" w:ascii="Times New Roman" w:hAnsi="Times New Roman" w:eastAsia="仿宋" w:cs="Times New Roman"/>
                      <w:bCs/>
                      <w:color w:val="auto"/>
                      <w:sz w:val="21"/>
                      <w:szCs w:val="21"/>
                      <w:highlight w:val="none"/>
                    </w:rPr>
                    <w:t>废气</w:t>
                  </w:r>
                </w:p>
              </w:tc>
              <w:tc>
                <w:tcPr>
                  <w:tcW w:w="1160" w:type="dxa"/>
                  <w:vMerge w:val="restart"/>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氨</w:t>
                  </w:r>
                </w:p>
              </w:tc>
              <w:tc>
                <w:tcPr>
                  <w:tcW w:w="4359"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空气质量 氨的测定 纳氏试剂分光光度法</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533-2009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outlineLvl w:val="0"/>
                    <w:rPr>
                      <w:rFonts w:hint="default" w:ascii="Times New Roman" w:hAnsi="Times New Roman" w:eastAsia="仿宋" w:cs="Times New Roman"/>
                      <w:bCs/>
                      <w:color w:val="auto"/>
                      <w:sz w:val="21"/>
                      <w:szCs w:val="21"/>
                      <w:highlight w:val="none"/>
                    </w:rPr>
                  </w:pPr>
                </w:p>
              </w:tc>
              <w:tc>
                <w:tcPr>
                  <w:tcW w:w="1160" w:type="dxa"/>
                  <w:vMerge w:val="continue"/>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p>
              </w:tc>
              <w:tc>
                <w:tcPr>
                  <w:tcW w:w="4359"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color w:val="auto"/>
                      <w:sz w:val="21"/>
                      <w:szCs w:val="21"/>
                      <w:highlight w:val="none"/>
                    </w:rPr>
                    <w:t>污染源废气 氨 次氯酸钠-水杨酸分光光度法</w:t>
                  </w:r>
                </w:p>
              </w:tc>
              <w:tc>
                <w:tcPr>
                  <w:tcW w:w="2104" w:type="dxa"/>
                  <w:vMerge w:val="restart"/>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color w:val="auto"/>
                      <w:sz w:val="21"/>
                      <w:szCs w:val="21"/>
                      <w:highlight w:val="none"/>
                    </w:rPr>
                    <w:t>《空气和废气监测分析方法》（第四版）国家环境保护总局（2003年）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color w:val="auto"/>
                      <w:sz w:val="21"/>
                      <w:szCs w:val="21"/>
                      <w:highlight w:val="none"/>
                    </w:rPr>
                  </w:pPr>
                </w:p>
              </w:tc>
              <w:tc>
                <w:tcPr>
                  <w:tcW w:w="1160" w:type="dxa"/>
                  <w:vMerge w:val="restart"/>
                  <w:tcBorders>
                    <w:tl2br w:val="nil"/>
                    <w:tr2bl w:val="nil"/>
                  </w:tcBorders>
                  <w:vAlign w:val="center"/>
                </w:tcPr>
                <w:p>
                  <w:pPr>
                    <w:spacing w:line="240" w:lineRule="exact"/>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color w:val="auto"/>
                      <w:sz w:val="21"/>
                      <w:szCs w:val="21"/>
                      <w:highlight w:val="none"/>
                    </w:rPr>
                    <w:t>硫化氢</w:t>
                  </w:r>
                </w:p>
              </w:tc>
              <w:tc>
                <w:tcPr>
                  <w:tcW w:w="4359"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color w:val="auto"/>
                      <w:sz w:val="21"/>
                      <w:szCs w:val="21"/>
                      <w:highlight w:val="none"/>
                    </w:rPr>
                    <w:t>空气质量 亚甲基蓝分光光度法</w:t>
                  </w:r>
                </w:p>
              </w:tc>
              <w:tc>
                <w:tcPr>
                  <w:tcW w:w="2104" w:type="dxa"/>
                  <w:vMerge w:val="continue"/>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49" w:hRule="exact"/>
              </w:trPr>
              <w:tc>
                <w:tcPr>
                  <w:tcW w:w="673" w:type="dxa"/>
                  <w:vMerge w:val="continue"/>
                  <w:tcBorders>
                    <w:tl2br w:val="nil"/>
                    <w:tr2bl w:val="nil"/>
                  </w:tcBorders>
                  <w:vAlign w:val="center"/>
                </w:tcPr>
                <w:p>
                  <w:pPr>
                    <w:jc w:val="center"/>
                    <w:rPr>
                      <w:rFonts w:hint="default" w:ascii="Times New Roman" w:hAnsi="Times New Roman" w:eastAsia="仿宋" w:cs="Times New Roman"/>
                      <w:color w:val="auto"/>
                      <w:sz w:val="21"/>
                      <w:szCs w:val="21"/>
                      <w:highlight w:val="none"/>
                    </w:rPr>
                  </w:pPr>
                </w:p>
              </w:tc>
              <w:tc>
                <w:tcPr>
                  <w:tcW w:w="1160" w:type="dxa"/>
                  <w:vMerge w:val="continue"/>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p>
              </w:tc>
              <w:tc>
                <w:tcPr>
                  <w:tcW w:w="4359"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污染源废气  硫化氢  亚甲基蓝分光光度法</w:t>
                  </w:r>
                </w:p>
              </w:tc>
              <w:tc>
                <w:tcPr>
                  <w:tcW w:w="2104" w:type="dxa"/>
                  <w:vMerge w:val="continue"/>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27" w:hRule="exact"/>
              </w:trPr>
              <w:tc>
                <w:tcPr>
                  <w:tcW w:w="673" w:type="dxa"/>
                  <w:vMerge w:val="continue"/>
                  <w:tcBorders>
                    <w:tl2br w:val="nil"/>
                    <w:tr2bl w:val="nil"/>
                  </w:tcBorders>
                  <w:vAlign w:val="center"/>
                </w:tcPr>
                <w:p>
                  <w:pPr>
                    <w:jc w:val="center"/>
                    <w:rPr>
                      <w:rFonts w:hint="default" w:ascii="Times New Roman" w:hAnsi="Times New Roman" w:eastAsia="仿宋" w:cs="Times New Roman"/>
                      <w:color w:val="auto"/>
                      <w:sz w:val="21"/>
                      <w:szCs w:val="21"/>
                      <w:highlight w:val="none"/>
                    </w:rPr>
                  </w:pPr>
                </w:p>
              </w:tc>
              <w:tc>
                <w:tcPr>
                  <w:tcW w:w="1160" w:type="dxa"/>
                  <w:tcBorders>
                    <w:tl2br w:val="nil"/>
                    <w:tr2bl w:val="nil"/>
                  </w:tcBorders>
                  <w:vAlign w:val="center"/>
                </w:tcPr>
                <w:p>
                  <w:pPr>
                    <w:jc w:val="center"/>
                    <w:outlineLvl w:val="0"/>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color w:val="auto"/>
                      <w:sz w:val="21"/>
                      <w:szCs w:val="21"/>
                      <w:highlight w:val="none"/>
                    </w:rPr>
                    <w:t>臭气浓度</w:t>
                  </w:r>
                </w:p>
              </w:tc>
              <w:tc>
                <w:tcPr>
                  <w:tcW w:w="4359"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空气质量 恶臭的测定 三点比较式臭袋法</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kern w:val="0"/>
                      <w:sz w:val="21"/>
                      <w:szCs w:val="21"/>
                      <w:highlight w:val="none"/>
                    </w:rPr>
                  </w:pPr>
                  <w:r>
                    <w:rPr>
                      <w:rFonts w:hint="default" w:ascii="Times New Roman" w:hAnsi="Times New Roman" w:eastAsia="仿宋" w:cs="Times New Roman"/>
                      <w:color w:val="auto"/>
                      <w:sz w:val="21"/>
                      <w:szCs w:val="21"/>
                      <w:highlight w:val="none"/>
                    </w:rPr>
                    <w:t>GB/T 14675-1993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tcBorders>
                    <w:tl2br w:val="nil"/>
                    <w:tr2bl w:val="nil"/>
                  </w:tcBorders>
                  <w:vAlign w:val="center"/>
                </w:tcPr>
                <w:p>
                  <w:pPr>
                    <w:jc w:val="center"/>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Cs/>
                      <w:color w:val="auto"/>
                      <w:sz w:val="21"/>
                      <w:szCs w:val="21"/>
                      <w:highlight w:val="none"/>
                    </w:rPr>
                    <w:t>噪声</w:t>
                  </w:r>
                </w:p>
              </w:tc>
              <w:tc>
                <w:tcPr>
                  <w:tcW w:w="1160" w:type="dxa"/>
                  <w:tcBorders>
                    <w:tl2br w:val="nil"/>
                    <w:tr2bl w:val="nil"/>
                  </w:tcBorders>
                  <w:vAlign w:val="center"/>
                </w:tcPr>
                <w:p>
                  <w:pPr>
                    <w:spacing w:line="32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厂界噪声</w:t>
                  </w:r>
                </w:p>
              </w:tc>
              <w:tc>
                <w:tcPr>
                  <w:tcW w:w="4359" w:type="dxa"/>
                  <w:tcBorders>
                    <w:tl2br w:val="nil"/>
                    <w:tr2bl w:val="nil"/>
                  </w:tcBorders>
                  <w:vAlign w:val="center"/>
                </w:tcPr>
                <w:p>
                  <w:pPr>
                    <w:spacing w:line="32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工业企业厂界环境噪声排放标准</w:t>
                  </w:r>
                </w:p>
              </w:tc>
              <w:tc>
                <w:tcPr>
                  <w:tcW w:w="2104" w:type="dxa"/>
                  <w:tcBorders>
                    <w:tl2br w:val="nil"/>
                    <w:tr2bl w:val="nil"/>
                  </w:tcBorders>
                  <w:vAlign w:val="center"/>
                </w:tcPr>
                <w:p>
                  <w:pPr>
                    <w:spacing w:line="32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kern w:val="21"/>
                      <w:sz w:val="21"/>
                      <w:szCs w:val="21"/>
                      <w:highlight w:val="none"/>
                    </w:rPr>
                    <w:t>GB</w:t>
                  </w:r>
                  <w:r>
                    <w:rPr>
                      <w:rFonts w:hint="default" w:ascii="Times New Roman" w:hAnsi="Times New Roman" w:eastAsia="仿宋" w:cs="Times New Roman"/>
                      <w:color w:val="auto"/>
                      <w:sz w:val="21"/>
                      <w:szCs w:val="21"/>
                      <w:highlight w:val="none"/>
                    </w:rPr>
                    <w:t xml:space="preserve"> 12348-2008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restart"/>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r>
                    <w:rPr>
                      <w:rFonts w:hint="default" w:ascii="Times New Roman" w:hAnsi="Times New Roman" w:eastAsia="仿宋" w:cs="Times New Roman"/>
                      <w:bCs/>
                      <w:color w:val="auto"/>
                      <w:sz w:val="21"/>
                      <w:szCs w:val="21"/>
                      <w:highlight w:val="none"/>
                    </w:rPr>
                    <w:t>污水</w:t>
                  </w: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pH值</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pH值的测定 玻璃电极法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6920-1986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27"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色度</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色度的测定</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11903-1989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动植物油</w:t>
                  </w:r>
                </w:p>
              </w:tc>
              <w:tc>
                <w:tcPr>
                  <w:tcW w:w="4359" w:type="dxa"/>
                  <w:vMerge w:val="restart"/>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石油类和动植物油类的测定 红外分光光度法</w:t>
                  </w:r>
                </w:p>
              </w:tc>
              <w:tc>
                <w:tcPr>
                  <w:tcW w:w="2104" w:type="dxa"/>
                  <w:vMerge w:val="restart"/>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637-2012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石油类</w:t>
                  </w:r>
                </w:p>
              </w:tc>
              <w:tc>
                <w:tcPr>
                  <w:tcW w:w="4359" w:type="dxa"/>
                  <w:vMerge w:val="continue"/>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p>
              </w:tc>
              <w:tc>
                <w:tcPr>
                  <w:tcW w:w="2104" w:type="dxa"/>
                  <w:vMerge w:val="continue"/>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生化需氧量</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五日生化需氧量的测定 稀释与接种法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505-2009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化学需氧量</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化学需氧量的测定 重铬酸盐法</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828-2017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氨氮</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氨氮的测定 纳氏试剂分光光度法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535-2009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总磷</w:t>
                  </w:r>
                </w:p>
              </w:tc>
              <w:tc>
                <w:tcPr>
                  <w:tcW w:w="4359" w:type="dxa"/>
                  <w:tcBorders>
                    <w:tl2br w:val="nil"/>
                    <w:tr2bl w:val="nil"/>
                  </w:tcBorders>
                  <w:vAlign w:val="center"/>
                </w:tcPr>
                <w:p>
                  <w:pPr>
                    <w:ind w:right="-105" w:rightChars="-50"/>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总磷的测定 钼酸铵分光光度法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11893-1989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总氮</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总氮的测定 碱性过硫酸钾消解紫外分分光光度法</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636-2012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98"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ind w:left="-105" w:leftChars="-50" w:right="-105" w:rightChars="-50"/>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阴离子表面活性剂</w:t>
                  </w:r>
                </w:p>
              </w:tc>
              <w:tc>
                <w:tcPr>
                  <w:tcW w:w="4359" w:type="dxa"/>
                  <w:tcBorders>
                    <w:tl2br w:val="nil"/>
                    <w:tr2bl w:val="nil"/>
                  </w:tcBorders>
                  <w:vAlign w:val="center"/>
                </w:tcPr>
                <w:p>
                  <w:pPr>
                    <w:ind w:right="-105" w:rightChars="-50"/>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阴离子表面活性剂 亚甲蓝分光光度法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7494-1987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汞、砷</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汞、砷、硒、铋、锑的测定 原子原子荧光法</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694-2014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77"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烷基汞</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烷基汞的测定 气相色谱法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14204-1993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106"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铅、镉</w:t>
                  </w:r>
                </w:p>
              </w:tc>
              <w:tc>
                <w:tcPr>
                  <w:tcW w:w="4359"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铜、铅、镉的测定 石墨炉原子吸收法</w:t>
                  </w:r>
                </w:p>
              </w:tc>
              <w:tc>
                <w:tcPr>
                  <w:tcW w:w="2104" w:type="dxa"/>
                  <w:tcBorders>
                    <w:tl2br w:val="nil"/>
                    <w:tr2bl w:val="nil"/>
                  </w:tcBorders>
                  <w:vAlign w:val="center"/>
                </w:tcPr>
                <w:p>
                  <w:pPr>
                    <w:spacing w:line="26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《水和废水监测分析方法》（第四版）国家环境保护总局（2002年）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铬</w:t>
                  </w:r>
                </w:p>
              </w:tc>
              <w:tc>
                <w:tcPr>
                  <w:tcW w:w="4359" w:type="dxa"/>
                  <w:tcBorders>
                    <w:tl2br w:val="nil"/>
                    <w:tr2bl w:val="nil"/>
                  </w:tcBorders>
                  <w:vAlign w:val="center"/>
                </w:tcPr>
                <w:p>
                  <w:pPr>
                    <w:pStyle w:val="21"/>
                    <w:spacing w:line="32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铬的测定 火焰原子吸收分光光度法</w:t>
                  </w:r>
                </w:p>
              </w:tc>
              <w:tc>
                <w:tcPr>
                  <w:tcW w:w="2104" w:type="dxa"/>
                  <w:tcBorders>
                    <w:tl2br w:val="nil"/>
                    <w:tr2bl w:val="nil"/>
                  </w:tcBorders>
                  <w:vAlign w:val="center"/>
                </w:tcPr>
                <w:p>
                  <w:pPr>
                    <w:pStyle w:val="21"/>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 757-2015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六价铬</w:t>
                  </w:r>
                </w:p>
              </w:tc>
              <w:tc>
                <w:tcPr>
                  <w:tcW w:w="4359" w:type="dxa"/>
                  <w:tcBorders>
                    <w:tl2br w:val="nil"/>
                    <w:tr2bl w:val="nil"/>
                  </w:tcBorders>
                  <w:vAlign w:val="center"/>
                </w:tcPr>
                <w:p>
                  <w:pPr>
                    <w:ind w:right="-105" w:rightChars="-50"/>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六价铬的测定 二苯碳酰二肼分光光度法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7467-1987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2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悬浮物</w:t>
                  </w:r>
                </w:p>
              </w:tc>
              <w:tc>
                <w:tcPr>
                  <w:tcW w:w="4359" w:type="dxa"/>
                  <w:tcBorders>
                    <w:tl2br w:val="nil"/>
                    <w:tr2bl w:val="nil"/>
                  </w:tcBorders>
                  <w:vAlign w:val="center"/>
                </w:tcPr>
                <w:p>
                  <w:pPr>
                    <w:ind w:right="-105" w:rightChars="-50"/>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悬浮物的测定 重量法</w:t>
                  </w:r>
                </w:p>
              </w:tc>
              <w:tc>
                <w:tcPr>
                  <w:tcW w:w="2104" w:type="dxa"/>
                  <w:tcBorders>
                    <w:tl2br w:val="nil"/>
                    <w:tr2bl w:val="nil"/>
                  </w:tcBorders>
                  <w:vAlign w:val="center"/>
                </w:tcPr>
                <w:p>
                  <w:pPr>
                    <w:spacing w:line="240" w:lineRule="exact"/>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GB/T 11901-1989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9" w:hRule="exact"/>
              </w:trPr>
              <w:tc>
                <w:tcPr>
                  <w:tcW w:w="673" w:type="dxa"/>
                  <w:vMerge w:val="continue"/>
                  <w:tcBorders>
                    <w:tl2br w:val="nil"/>
                    <w:tr2bl w:val="nil"/>
                  </w:tcBorders>
                  <w:vAlign w:val="center"/>
                </w:tcPr>
                <w:p>
                  <w:pPr>
                    <w:jc w:val="center"/>
                    <w:rPr>
                      <w:rFonts w:hint="default" w:ascii="Times New Roman" w:hAnsi="Times New Roman" w:eastAsia="仿宋" w:cs="Times New Roman"/>
                      <w:bCs/>
                      <w:color w:val="auto"/>
                      <w:sz w:val="21"/>
                      <w:szCs w:val="21"/>
                      <w:highlight w:val="none"/>
                    </w:rPr>
                  </w:pPr>
                </w:p>
              </w:tc>
              <w:tc>
                <w:tcPr>
                  <w:tcW w:w="1160" w:type="dxa"/>
                  <w:tcBorders>
                    <w:tl2br w:val="nil"/>
                    <w:tr2bl w:val="nil"/>
                  </w:tcBorders>
                  <w:vAlign w:val="center"/>
                </w:tcPr>
                <w:p>
                  <w:pPr>
                    <w:jc w:val="center"/>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粪大肠菌群</w:t>
                  </w:r>
                </w:p>
              </w:tc>
              <w:tc>
                <w:tcPr>
                  <w:tcW w:w="4359" w:type="dxa"/>
                  <w:tcBorders>
                    <w:tl2br w:val="nil"/>
                    <w:tr2bl w:val="nil"/>
                  </w:tcBorders>
                  <w:vAlign w:val="center"/>
                </w:tcPr>
                <w:p>
                  <w:pPr>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水质 粪大肠菌群的测定 多管发酵法和滤膜法（试行）</w:t>
                  </w:r>
                </w:p>
              </w:tc>
              <w:tc>
                <w:tcPr>
                  <w:tcW w:w="2104" w:type="dxa"/>
                  <w:tcBorders>
                    <w:tl2br w:val="nil"/>
                    <w:tr2bl w:val="nil"/>
                  </w:tcBorders>
                  <w:vAlign w:val="center"/>
                </w:tcPr>
                <w:p>
                  <w:pPr>
                    <w:spacing w:line="240" w:lineRule="exact"/>
                    <w:jc w:val="center"/>
                    <w:outlineLvl w:val="0"/>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HJ/T 347-2007</w:t>
                  </w:r>
                </w:p>
              </w:tc>
            </w:tr>
          </w:tbl>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2、仪器设备</w:t>
            </w:r>
          </w:p>
          <w:p>
            <w:pPr>
              <w:spacing w:line="360" w:lineRule="auto"/>
              <w:ind w:firstLine="480" w:firstLineChars="200"/>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宋体" w:cs="Times New Roman"/>
                <w:color w:val="auto"/>
                <w:sz w:val="24"/>
                <w:szCs w:val="24"/>
                <w:highlight w:val="none"/>
                <w:lang w:val="zh-TW" w:eastAsia="zh-CN"/>
              </w:rPr>
              <w:t>黑龙江省瑞科检测技术有限公司持有黑龙江省质量技术监督局颁发的“计量认证证书”（证书编号：2015081664U）。所用仪器设备均经黑龙江省质量技术监督局定期检定，且检定合格。</w:t>
            </w:r>
          </w:p>
          <w:p>
            <w:pPr>
              <w:spacing w:line="360" w:lineRule="auto"/>
              <w:jc w:val="center"/>
              <w:outlineLvl w:val="2"/>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黑体" w:cs="Times New Roman"/>
                <w:b w:val="0"/>
                <w:bCs/>
                <w:color w:val="auto"/>
                <w:kern w:val="0"/>
                <w:sz w:val="21"/>
                <w:szCs w:val="21"/>
                <w:highlight w:val="none"/>
              </w:rPr>
              <w:t>表5-2  监测分析仪器型号</w:t>
            </w:r>
          </w:p>
          <w:tbl>
            <w:tblPr>
              <w:tblStyle w:val="11"/>
              <w:tblW w:w="829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2763"/>
              <w:gridCol w:w="2288"/>
              <w:gridCol w:w="324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423" w:hRule="exac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 w:val="0"/>
                      <w:bCs/>
                      <w:color w:val="auto"/>
                      <w:szCs w:val="21"/>
                      <w:highlight w:val="none"/>
                    </w:rPr>
                    <w:t>仪器名称</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 w:val="0"/>
                      <w:bCs/>
                      <w:color w:val="auto"/>
                      <w:szCs w:val="21"/>
                      <w:highlight w:val="none"/>
                    </w:rPr>
                    <w:t>仪器型号</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 w:val="0"/>
                      <w:bCs/>
                      <w:color w:val="auto"/>
                      <w:szCs w:val="21"/>
                      <w:highlight w:val="none"/>
                    </w:rPr>
                    <w:t>仪器编号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Cs/>
                      <w:color w:val="auto"/>
                      <w:szCs w:val="21"/>
                      <w:highlight w:val="none"/>
                    </w:rPr>
                    <w:t>综合智能大气采样器</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HY1201</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HRK-55 HRK-56 HRK-57 HRK-58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风速仪</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Cs/>
                      <w:color w:val="auto"/>
                      <w:szCs w:val="21"/>
                      <w:highlight w:val="none"/>
                    </w:rPr>
                    <w:t>AR826</w:t>
                  </w:r>
                  <w:r>
                    <w:rPr>
                      <w:rFonts w:hint="default" w:ascii="Times New Roman" w:hAnsi="Times New Roman" w:eastAsia="仿宋" w:cs="Times New Roman"/>
                      <w:bCs/>
                      <w:color w:val="auto"/>
                      <w:szCs w:val="21"/>
                      <w:highlight w:val="none"/>
                      <w:vertAlign w:val="superscript"/>
                    </w:rPr>
                    <w:t>+</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空盒气压表</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Cs/>
                      <w:color w:val="auto"/>
                      <w:szCs w:val="21"/>
                      <w:highlight w:val="none"/>
                    </w:rPr>
                    <w:t>DYM</w:t>
                  </w:r>
                  <w:r>
                    <w:rPr>
                      <w:rFonts w:hint="default" w:ascii="Times New Roman" w:hAnsi="Times New Roman" w:eastAsia="仿宋" w:cs="Times New Roman"/>
                      <w:bCs/>
                      <w:color w:val="auto"/>
                      <w:szCs w:val="21"/>
                      <w:highlight w:val="none"/>
                      <w:vertAlign w:val="subscript"/>
                    </w:rPr>
                    <w:t>3</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多功能声级计</w:t>
                  </w:r>
                </w:p>
              </w:tc>
              <w:tc>
                <w:tcPr>
                  <w:tcW w:w="2288"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AWA5688</w:t>
                  </w:r>
                </w:p>
              </w:tc>
              <w:tc>
                <w:tcPr>
                  <w:tcW w:w="3245"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HRK-163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声校准器</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kern w:val="0"/>
                      <w:szCs w:val="21"/>
                      <w:highlight w:val="none"/>
                    </w:rPr>
                    <w:t>AWA6221A</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HRK-11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无油空气压缩泵</w:t>
                  </w:r>
                </w:p>
              </w:tc>
              <w:tc>
                <w:tcPr>
                  <w:tcW w:w="2288"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550-25（45/7）</w:t>
                  </w:r>
                </w:p>
              </w:tc>
              <w:tc>
                <w:tcPr>
                  <w:tcW w:w="3245"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HRK-99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循环水式多用真空泵</w:t>
                  </w:r>
                </w:p>
              </w:tc>
              <w:tc>
                <w:tcPr>
                  <w:tcW w:w="2288"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SHB-Ⅲ</w:t>
                  </w:r>
                </w:p>
              </w:tc>
              <w:tc>
                <w:tcPr>
                  <w:tcW w:w="3245"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HRK-98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adjustRightInd w:val="0"/>
                    <w:snapToGrid w:val="0"/>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bCs/>
                      <w:color w:val="auto"/>
                      <w:szCs w:val="21"/>
                      <w:highlight w:val="none"/>
                    </w:rPr>
                    <w:t>可见分光光度计</w:t>
                  </w:r>
                </w:p>
              </w:tc>
              <w:tc>
                <w:tcPr>
                  <w:tcW w:w="2288"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kern w:val="0"/>
                      <w:highlight w:val="none"/>
                    </w:rPr>
                    <w:t>722S</w:t>
                  </w:r>
                </w:p>
              </w:tc>
              <w:tc>
                <w:tcPr>
                  <w:tcW w:w="3245" w:type="dxa"/>
                  <w:tcBorders>
                    <w:tl2br w:val="nil"/>
                    <w:tr2bl w:val="nil"/>
                  </w:tcBorders>
                  <w:vAlign w:val="center"/>
                </w:tcPr>
                <w:p>
                  <w:pPr>
                    <w:spacing w:line="240" w:lineRule="auto"/>
                    <w:jc w:val="center"/>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highlight w:val="none"/>
                    </w:rPr>
                    <w:t>HRK-41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pH计</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PHS-3C</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HRK-17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温度计</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0-100 C°</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红外分光测油仪</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JLBG-126</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生化培养箱</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SPX-250B-II</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HRK-07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压力蒸汽灭菌锅</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YX-280D</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b w:val="0"/>
                      <w:bCs/>
                      <w:color w:val="auto"/>
                      <w:sz w:val="21"/>
                      <w:szCs w:val="21"/>
                      <w:highlight w:val="none"/>
                    </w:rPr>
                  </w:pPr>
                  <w:r>
                    <w:rPr>
                      <w:rFonts w:hint="default" w:ascii="Times New Roman" w:hAnsi="Times New Roman" w:eastAsia="仿宋" w:cs="Times New Roman"/>
                      <w:color w:val="auto"/>
                      <w:szCs w:val="21"/>
                      <w:highlight w:val="none"/>
                    </w:rPr>
                    <w:t>HRK-25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紫外可见分光光度计</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TU1810</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HRK-15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原子吸收分光光度计</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A3AFG-12</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HRK-14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原子荧光光度计</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AFS-830</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HRK-24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气相色谱仪</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Trace1300</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HRK-59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97" w:hRule="atLeast"/>
              </w:trPr>
              <w:tc>
                <w:tcPr>
                  <w:tcW w:w="2763"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电热恒温培养箱</w:t>
                  </w:r>
                </w:p>
              </w:tc>
              <w:tc>
                <w:tcPr>
                  <w:tcW w:w="2288"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DH4000II</w:t>
                  </w:r>
                </w:p>
              </w:tc>
              <w:tc>
                <w:tcPr>
                  <w:tcW w:w="3245" w:type="dxa"/>
                  <w:tcBorders>
                    <w:tl2br w:val="nil"/>
                    <w:tr2bl w:val="nil"/>
                  </w:tcBorders>
                  <w:vAlign w:val="center"/>
                </w:tcPr>
                <w:p>
                  <w:pPr>
                    <w:spacing w:line="240" w:lineRule="auto"/>
                    <w:jc w:val="center"/>
                    <w:outlineLvl w:val="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highlight w:val="none"/>
                    </w:rPr>
                    <w:t>HRK-08</w:t>
                  </w:r>
                </w:p>
              </w:tc>
            </w:tr>
          </w:tbl>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3、人员</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参加验收监测和测试的人员，均按国家有关规定持有黑龙江省环境监测中心站颁发的《环境监测持证上岗合格证》。</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4、质量控制和质量保证</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（1）及时了解工况情况，保证监测过程中工况负荷满足验收监测要求。</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（2）合理布设监测点位，保证各监测点位布设的科学性和可比性。</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（3）监测分析方法采用国家有关部门颁布的标准（或推荐）方法，监测人员经过考核并持有合格证书。</w:t>
            </w:r>
          </w:p>
          <w:p>
            <w:pPr>
              <w:spacing w:line="360" w:lineRule="auto"/>
              <w:ind w:firstLine="480" w:firstLineChars="200"/>
              <w:rPr>
                <w:rFonts w:hint="default" w:ascii="Times New Roman" w:hAnsi="Times New Roman" w:cs="Times New Roman"/>
                <w:color w:val="auto"/>
                <w:kern w:val="0"/>
                <w:sz w:val="24"/>
                <w:szCs w:val="24"/>
                <w:highlight w:val="none"/>
                <w:lang w:val="zh-TW"/>
              </w:rPr>
            </w:pPr>
            <w:r>
              <w:rPr>
                <w:rFonts w:hint="default" w:ascii="Times New Roman" w:hAnsi="Times New Roman" w:eastAsia="宋体" w:cs="Times New Roman"/>
                <w:color w:val="auto"/>
                <w:sz w:val="24"/>
                <w:szCs w:val="24"/>
                <w:highlight w:val="none"/>
                <w:lang w:val="zh-TW" w:eastAsia="zh-CN"/>
              </w:rPr>
              <w:t>（4）保证验收监测分析结果的准确性和可靠性。测量数据严格实行三级审核制度，经过校对和校核，最后由技术负责人审定。</w:t>
            </w:r>
          </w:p>
        </w:tc>
      </w:tr>
    </w:tbl>
    <w:p>
      <w:pPr>
        <w:pStyle w:val="6"/>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43" w:name="_Toc515715407"/>
      <w:bookmarkStart w:id="44" w:name="_Toc18550_WPSOffice_Level1"/>
      <w:bookmarkStart w:id="45" w:name="_Toc10640_WPSOffice_Level1"/>
      <w:bookmarkStart w:id="46" w:name="_Toc10510_WPSOffice_Level1"/>
      <w:r>
        <w:rPr>
          <w:rFonts w:hint="default" w:ascii="Times New Roman" w:hAnsi="Times New Roman" w:cs="Times New Roman"/>
          <w:b/>
          <w:color w:val="auto"/>
          <w:kern w:val="0"/>
          <w:sz w:val="30"/>
          <w:szCs w:val="22"/>
          <w:highlight w:val="none"/>
        </w:rPr>
        <w:t>表六 验收监测内容</w:t>
      </w:r>
      <w:bookmarkEnd w:id="43"/>
      <w:bookmarkEnd w:id="44"/>
      <w:bookmarkEnd w:id="45"/>
      <w:bookmarkEnd w:id="46"/>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2215"/>
        <w:gridCol w:w="2133"/>
        <w:gridCol w:w="126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atLeast"/>
        </w:trPr>
        <w:tc>
          <w:tcPr>
            <w:tcW w:w="1191"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内容类型</w:t>
            </w:r>
          </w:p>
        </w:tc>
        <w:tc>
          <w:tcPr>
            <w:tcW w:w="2215"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监测位置</w:t>
            </w:r>
          </w:p>
        </w:tc>
        <w:tc>
          <w:tcPr>
            <w:tcW w:w="2133"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监测项目</w:t>
            </w:r>
          </w:p>
        </w:tc>
        <w:tc>
          <w:tcPr>
            <w:tcW w:w="1265"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监测点数</w:t>
            </w:r>
          </w:p>
        </w:tc>
        <w:tc>
          <w:tcPr>
            <w:tcW w:w="1718"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trPr>
        <w:tc>
          <w:tcPr>
            <w:tcW w:w="1191" w:type="dxa"/>
            <w:vMerge w:val="restart"/>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有组织废气</w:t>
            </w:r>
          </w:p>
        </w:tc>
        <w:tc>
          <w:tcPr>
            <w:tcW w:w="2215" w:type="dxa"/>
            <w:vAlign w:val="center"/>
          </w:tcPr>
          <w:p>
            <w:pPr>
              <w:jc w:val="center"/>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预处理间除臭设备处理前</w:t>
            </w:r>
          </w:p>
        </w:tc>
        <w:tc>
          <w:tcPr>
            <w:tcW w:w="2133" w:type="dxa"/>
            <w:vAlign w:val="center"/>
          </w:tcPr>
          <w:p>
            <w:pPr>
              <w:jc w:val="center"/>
              <w:rPr>
                <w:rFonts w:hint="default" w:ascii="Times New Roman" w:hAnsi="Times New Roman" w:eastAsia="宋体" w:cs="Times New Roman"/>
                <w:bCs/>
                <w:color w:val="auto"/>
                <w:sz w:val="24"/>
                <w:szCs w:val="24"/>
                <w:highlight w:val="none"/>
                <w:lang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default" w:ascii="Times New Roman" w:hAnsi="Times New Roman" w:eastAsia="宋体" w:cs="Times New Roman"/>
                <w:bCs/>
                <w:color w:val="auto"/>
                <w:sz w:val="24"/>
                <w:szCs w:val="24"/>
                <w:highlight w:val="none"/>
                <w:lang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预处理间除臭设备处理后</w:t>
            </w:r>
          </w:p>
        </w:tc>
        <w:tc>
          <w:tcPr>
            <w:tcW w:w="2133" w:type="dxa"/>
            <w:vAlign w:val="center"/>
          </w:tcPr>
          <w:p>
            <w:pPr>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CASS反应池除臭设备处理前</w:t>
            </w:r>
          </w:p>
        </w:tc>
        <w:tc>
          <w:tcPr>
            <w:tcW w:w="2133" w:type="dxa"/>
            <w:vAlign w:val="center"/>
          </w:tcPr>
          <w:p>
            <w:pPr>
              <w:jc w:val="center"/>
              <w:rPr>
                <w:rFonts w:hint="default" w:ascii="Times New Roman" w:hAnsi="Times New Roman" w:cs="Times New Roman"/>
                <w:bCs/>
                <w:color w:val="auto"/>
                <w:sz w:val="24"/>
                <w:szCs w:val="24"/>
                <w:highlight w:val="none"/>
                <w:lang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default" w:ascii="Times New Roman" w:hAnsi="Times New Roman" w:eastAsia="宋体" w:cs="Times New Roman"/>
                <w:bCs/>
                <w:color w:val="auto"/>
                <w:sz w:val="24"/>
                <w:szCs w:val="24"/>
                <w:highlight w:val="none"/>
                <w:lang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污泥脱水间除臭设备处理前</w:t>
            </w:r>
          </w:p>
        </w:tc>
        <w:tc>
          <w:tcPr>
            <w:tcW w:w="2133" w:type="dxa"/>
            <w:vAlign w:val="center"/>
          </w:tcPr>
          <w:p>
            <w:pPr>
              <w:jc w:val="center"/>
              <w:rPr>
                <w:rFonts w:hint="default" w:ascii="Times New Roman" w:hAnsi="Times New Roman" w:cs="Times New Roman"/>
                <w:bCs/>
                <w:color w:val="auto"/>
                <w:sz w:val="24"/>
                <w:szCs w:val="24"/>
                <w:highlight w:val="none"/>
                <w:lang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default" w:ascii="Times New Roman" w:hAnsi="Times New Roman" w:eastAsia="宋体" w:cs="Times New Roman"/>
                <w:bCs/>
                <w:color w:val="auto"/>
                <w:sz w:val="24"/>
                <w:szCs w:val="24"/>
                <w:highlight w:val="none"/>
                <w:lang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9" w:hRule="atLeas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eastAsia" w:cs="Times New Roman"/>
                <w:color w:val="auto"/>
                <w:sz w:val="24"/>
                <w:szCs w:val="24"/>
                <w:highlight w:val="none"/>
                <w:lang w:eastAsia="zh-CN"/>
              </w:rPr>
            </w:pPr>
            <w:r>
              <w:rPr>
                <w:rFonts w:hint="eastAsia" w:cs="Times New Roman"/>
                <w:color w:val="auto"/>
                <w:sz w:val="24"/>
                <w:szCs w:val="24"/>
                <w:highlight w:val="none"/>
                <w:lang w:eastAsia="zh-CN"/>
              </w:rPr>
              <w:t>CASS反应池及污泥脱水间除臭设备处理后</w:t>
            </w:r>
          </w:p>
        </w:tc>
        <w:tc>
          <w:tcPr>
            <w:tcW w:w="2133" w:type="dxa"/>
            <w:vAlign w:val="center"/>
          </w:tcPr>
          <w:p>
            <w:pPr>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eastAsia" w:cs="Times New Roman"/>
                <w:bCs/>
                <w:color w:val="auto"/>
                <w:sz w:val="24"/>
                <w:szCs w:val="24"/>
                <w:highlight w:val="none"/>
                <w:lang w:val="en-US"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5" w:hRule="atLeast"/>
        </w:trPr>
        <w:tc>
          <w:tcPr>
            <w:tcW w:w="1191" w:type="dxa"/>
            <w:vAlign w:val="center"/>
          </w:tcPr>
          <w:p>
            <w:pPr>
              <w:jc w:val="center"/>
              <w:rPr>
                <w:rFonts w:hint="default" w:ascii="Times New Roman" w:hAnsi="Times New Roman" w:eastAsia="宋体" w:cs="Times New Roman"/>
                <w:bCs/>
                <w:color w:val="auto"/>
                <w:sz w:val="24"/>
                <w:szCs w:val="24"/>
                <w:highlight w:val="none"/>
                <w:lang w:eastAsia="zh-CN"/>
              </w:rPr>
            </w:pPr>
            <w:r>
              <w:rPr>
                <w:rFonts w:hint="default" w:ascii="Times New Roman" w:hAnsi="Times New Roman" w:cs="Times New Roman"/>
                <w:bCs/>
                <w:color w:val="auto"/>
                <w:sz w:val="24"/>
                <w:szCs w:val="24"/>
                <w:highlight w:val="none"/>
                <w:lang w:eastAsia="zh-CN"/>
              </w:rPr>
              <w:t>无组织废气</w:t>
            </w:r>
          </w:p>
        </w:tc>
        <w:tc>
          <w:tcPr>
            <w:tcW w:w="2215" w:type="dxa"/>
            <w:vAlign w:val="center"/>
          </w:tcPr>
          <w:p>
            <w:pPr>
              <w:jc w:val="cente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厂界上风向1个，下风向3个；</w:t>
            </w:r>
          </w:p>
        </w:tc>
        <w:tc>
          <w:tcPr>
            <w:tcW w:w="2133" w:type="dxa"/>
            <w:vAlign w:val="center"/>
          </w:tcPr>
          <w:p>
            <w:pPr>
              <w:jc w:val="center"/>
              <w:rPr>
                <w:rFonts w:hint="default" w:ascii="Times New Roman" w:hAnsi="Times New Roman" w:cs="Times New Roman"/>
                <w:bCs/>
                <w:color w:val="auto"/>
                <w:sz w:val="24"/>
                <w:szCs w:val="24"/>
                <w:highlight w:val="none"/>
                <w:lang w:eastAsia="zh-CN"/>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default" w:ascii="Times New Roman" w:hAnsi="Times New Roman" w:eastAsia="宋体" w:cs="Times New Roman"/>
                <w:bCs/>
                <w:color w:val="auto"/>
                <w:sz w:val="24"/>
                <w:szCs w:val="24"/>
                <w:highlight w:val="none"/>
                <w:lang w:eastAsia="zh-CN"/>
              </w:rPr>
            </w:pPr>
            <w:r>
              <w:rPr>
                <w:rFonts w:hint="default" w:ascii="Times New Roman" w:hAnsi="Times New Roman" w:cs="Times New Roman"/>
                <w:bCs/>
                <w:color w:val="auto"/>
                <w:sz w:val="24"/>
                <w:szCs w:val="24"/>
                <w:highlight w:val="none"/>
                <w:lang w:val="en-US" w:eastAsia="zh-CN"/>
              </w:rPr>
              <w:t>4</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4" w:hRule="atLeast"/>
        </w:trPr>
        <w:tc>
          <w:tcPr>
            <w:tcW w:w="1191" w:type="dxa"/>
            <w:vMerge w:val="restart"/>
            <w:vAlign w:val="center"/>
          </w:tcPr>
          <w:p>
            <w:pPr>
              <w:jc w:val="center"/>
              <w:rPr>
                <w:rFonts w:hint="default" w:ascii="Times New Roman" w:hAnsi="Times New Roman" w:cs="Times New Roman"/>
                <w:bCs/>
                <w:color w:val="auto"/>
                <w:sz w:val="24"/>
                <w:szCs w:val="24"/>
                <w:highlight w:val="none"/>
                <w:lang w:eastAsia="zh-CN"/>
              </w:rPr>
            </w:pPr>
            <w:r>
              <w:rPr>
                <w:rFonts w:hint="eastAsia" w:cs="Times New Roman"/>
                <w:bCs/>
                <w:color w:val="auto"/>
                <w:sz w:val="24"/>
                <w:szCs w:val="24"/>
                <w:highlight w:val="none"/>
                <w:lang w:eastAsia="zh-CN"/>
              </w:rPr>
              <w:t>污水</w:t>
            </w:r>
          </w:p>
        </w:tc>
        <w:tc>
          <w:tcPr>
            <w:tcW w:w="2215" w:type="dxa"/>
            <w:vAlign w:val="center"/>
          </w:tcPr>
          <w:p>
            <w:pPr>
              <w:snapToGrid w:val="0"/>
              <w:jc w:val="center"/>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污水处理站入口</w:t>
            </w:r>
          </w:p>
        </w:tc>
        <w:tc>
          <w:tcPr>
            <w:tcW w:w="2133" w:type="dxa"/>
            <w:vMerge w:val="restart"/>
            <w:vAlign w:val="center"/>
          </w:tcPr>
          <w:p>
            <w:pPr>
              <w:snapToGrid w:val="0"/>
              <w:jc w:val="center"/>
              <w:rPr>
                <w:rFonts w:hint="eastAsia" w:ascii="Times New Roman" w:hAnsi="Times New Roman" w:eastAsia="宋体" w:cs="Times New Roman"/>
                <w:bCs/>
                <w:color w:val="auto"/>
                <w:sz w:val="24"/>
                <w:szCs w:val="24"/>
                <w:highlight w:val="none"/>
                <w:lang w:eastAsia="zh-CN"/>
              </w:rPr>
            </w:pPr>
            <w:r>
              <w:rPr>
                <w:rFonts w:ascii="宋体" w:hAnsi="宋体"/>
                <w:color w:val="auto"/>
                <w:sz w:val="24"/>
                <w:szCs w:val="24"/>
                <w:highlight w:val="none"/>
              </w:rPr>
              <w:t>pH</w:t>
            </w:r>
            <w:r>
              <w:rPr>
                <w:rFonts w:hint="eastAsia" w:ascii="宋体" w:hAnsi="宋体"/>
                <w:color w:val="auto"/>
                <w:sz w:val="24"/>
                <w:szCs w:val="24"/>
                <w:highlight w:val="none"/>
              </w:rPr>
              <w:t>值</w:t>
            </w:r>
            <w:r>
              <w:rPr>
                <w:rFonts w:hint="eastAsia" w:ascii="宋体" w:hAnsi="宋体"/>
                <w:color w:val="auto"/>
                <w:sz w:val="24"/>
                <w:szCs w:val="24"/>
                <w:highlight w:val="none"/>
                <w:lang w:eastAsia="zh-CN"/>
              </w:rPr>
              <w:t>、</w:t>
            </w:r>
            <w:r>
              <w:rPr>
                <w:rFonts w:hint="eastAsia"/>
                <w:color w:val="auto"/>
                <w:sz w:val="24"/>
                <w:szCs w:val="24"/>
                <w:highlight w:val="none"/>
              </w:rPr>
              <w:t>色度</w:t>
            </w:r>
            <w:r>
              <w:rPr>
                <w:rFonts w:hint="eastAsia"/>
                <w:color w:val="auto"/>
                <w:sz w:val="24"/>
                <w:szCs w:val="24"/>
                <w:highlight w:val="none"/>
                <w:lang w:eastAsia="zh-CN"/>
              </w:rPr>
              <w:t>、</w:t>
            </w:r>
            <w:r>
              <w:rPr>
                <w:rFonts w:hint="eastAsia"/>
                <w:color w:val="auto"/>
                <w:sz w:val="24"/>
                <w:szCs w:val="24"/>
                <w:highlight w:val="none"/>
              </w:rPr>
              <w:t>动植物油</w:t>
            </w:r>
            <w:r>
              <w:rPr>
                <w:rFonts w:hint="eastAsia"/>
                <w:color w:val="auto"/>
                <w:sz w:val="24"/>
                <w:szCs w:val="24"/>
                <w:highlight w:val="none"/>
                <w:lang w:eastAsia="zh-CN"/>
              </w:rPr>
              <w:t>、</w:t>
            </w:r>
            <w:r>
              <w:rPr>
                <w:color w:val="auto"/>
                <w:sz w:val="24"/>
                <w:szCs w:val="24"/>
                <w:highlight w:val="none"/>
              </w:rPr>
              <w:t>石油类</w:t>
            </w:r>
            <w:r>
              <w:rPr>
                <w:rFonts w:hint="eastAsia"/>
                <w:color w:val="auto"/>
                <w:sz w:val="24"/>
                <w:szCs w:val="24"/>
                <w:highlight w:val="none"/>
                <w:lang w:eastAsia="zh-CN"/>
              </w:rPr>
              <w:t>、</w:t>
            </w:r>
            <w:r>
              <w:rPr>
                <w:color w:val="auto"/>
                <w:sz w:val="24"/>
                <w:szCs w:val="24"/>
                <w:highlight w:val="none"/>
              </w:rPr>
              <w:t>生化需氧量</w:t>
            </w:r>
            <w:r>
              <w:rPr>
                <w:rFonts w:hint="eastAsia"/>
                <w:color w:val="auto"/>
                <w:sz w:val="24"/>
                <w:szCs w:val="24"/>
                <w:highlight w:val="none"/>
                <w:lang w:eastAsia="zh-CN"/>
              </w:rPr>
              <w:t>、</w:t>
            </w:r>
            <w:r>
              <w:rPr>
                <w:color w:val="auto"/>
                <w:sz w:val="24"/>
                <w:szCs w:val="24"/>
                <w:highlight w:val="none"/>
              </w:rPr>
              <w:t>化学需氧量</w:t>
            </w:r>
            <w:r>
              <w:rPr>
                <w:rFonts w:hint="eastAsia"/>
                <w:color w:val="auto"/>
                <w:sz w:val="24"/>
                <w:szCs w:val="24"/>
                <w:highlight w:val="none"/>
                <w:lang w:eastAsia="zh-CN"/>
              </w:rPr>
              <w:t>、</w:t>
            </w:r>
            <w:r>
              <w:rPr>
                <w:color w:val="auto"/>
                <w:sz w:val="24"/>
                <w:szCs w:val="24"/>
                <w:highlight w:val="none"/>
              </w:rPr>
              <w:t>氨氮</w:t>
            </w:r>
            <w:r>
              <w:rPr>
                <w:rFonts w:hint="eastAsia"/>
                <w:color w:val="auto"/>
                <w:sz w:val="24"/>
                <w:szCs w:val="24"/>
                <w:highlight w:val="none"/>
                <w:lang w:eastAsia="zh-CN"/>
              </w:rPr>
              <w:t>、</w:t>
            </w:r>
            <w:r>
              <w:rPr>
                <w:color w:val="auto"/>
                <w:sz w:val="24"/>
                <w:szCs w:val="24"/>
                <w:highlight w:val="none"/>
              </w:rPr>
              <w:t>总磷</w:t>
            </w:r>
            <w:r>
              <w:rPr>
                <w:rFonts w:hint="eastAsia"/>
                <w:color w:val="auto"/>
                <w:sz w:val="24"/>
                <w:szCs w:val="24"/>
                <w:highlight w:val="none"/>
                <w:lang w:eastAsia="zh-CN"/>
              </w:rPr>
              <w:t>、</w:t>
            </w:r>
            <w:r>
              <w:rPr>
                <w:color w:val="auto"/>
                <w:sz w:val="24"/>
                <w:szCs w:val="24"/>
                <w:highlight w:val="none"/>
              </w:rPr>
              <w:t>总氮</w:t>
            </w:r>
            <w:r>
              <w:rPr>
                <w:rFonts w:hint="eastAsia"/>
                <w:color w:val="auto"/>
                <w:sz w:val="24"/>
                <w:szCs w:val="24"/>
                <w:highlight w:val="none"/>
                <w:lang w:eastAsia="zh-CN"/>
              </w:rPr>
              <w:t>、</w:t>
            </w:r>
            <w:r>
              <w:rPr>
                <w:rFonts w:ascii="宋体" w:hAnsi="宋体"/>
                <w:color w:val="auto"/>
                <w:sz w:val="24"/>
                <w:szCs w:val="24"/>
                <w:highlight w:val="none"/>
              </w:rPr>
              <w:t>阴离子表面活性剂</w:t>
            </w:r>
            <w:r>
              <w:rPr>
                <w:rFonts w:hint="eastAsia"/>
                <w:color w:val="auto"/>
                <w:sz w:val="24"/>
                <w:szCs w:val="24"/>
                <w:highlight w:val="none"/>
                <w:lang w:eastAsia="zh-CN"/>
              </w:rPr>
              <w:t>、</w:t>
            </w:r>
            <w:r>
              <w:rPr>
                <w:color w:val="auto"/>
                <w:sz w:val="24"/>
                <w:szCs w:val="24"/>
                <w:highlight w:val="none"/>
              </w:rPr>
              <w:t>汞</w:t>
            </w:r>
            <w:r>
              <w:rPr>
                <w:rFonts w:hint="eastAsia"/>
                <w:color w:val="auto"/>
                <w:sz w:val="24"/>
                <w:szCs w:val="24"/>
                <w:highlight w:val="none"/>
                <w:lang w:eastAsia="zh-CN"/>
              </w:rPr>
              <w:t>、</w:t>
            </w:r>
            <w:r>
              <w:rPr>
                <w:color w:val="auto"/>
                <w:sz w:val="24"/>
                <w:szCs w:val="24"/>
                <w:highlight w:val="none"/>
              </w:rPr>
              <w:t>砷</w:t>
            </w:r>
            <w:r>
              <w:rPr>
                <w:rFonts w:hint="eastAsia"/>
                <w:color w:val="auto"/>
                <w:sz w:val="24"/>
                <w:szCs w:val="24"/>
                <w:highlight w:val="none"/>
                <w:lang w:eastAsia="zh-CN"/>
              </w:rPr>
              <w:t>、</w:t>
            </w:r>
            <w:r>
              <w:rPr>
                <w:rFonts w:hint="eastAsia"/>
                <w:color w:val="auto"/>
                <w:sz w:val="24"/>
                <w:szCs w:val="24"/>
                <w:highlight w:val="none"/>
              </w:rPr>
              <w:t>烷基汞</w:t>
            </w:r>
            <w:r>
              <w:rPr>
                <w:rFonts w:hint="eastAsia"/>
                <w:color w:val="auto"/>
                <w:sz w:val="24"/>
                <w:szCs w:val="24"/>
                <w:highlight w:val="none"/>
                <w:lang w:eastAsia="zh-CN"/>
              </w:rPr>
              <w:t>、</w:t>
            </w:r>
            <w:r>
              <w:rPr>
                <w:color w:val="auto"/>
                <w:sz w:val="24"/>
                <w:szCs w:val="24"/>
                <w:highlight w:val="none"/>
              </w:rPr>
              <w:t>铅</w:t>
            </w:r>
            <w:r>
              <w:rPr>
                <w:rFonts w:hint="eastAsia"/>
                <w:color w:val="auto"/>
                <w:sz w:val="24"/>
                <w:szCs w:val="24"/>
                <w:highlight w:val="none"/>
                <w:lang w:eastAsia="zh-CN"/>
              </w:rPr>
              <w:t>、</w:t>
            </w:r>
            <w:r>
              <w:rPr>
                <w:color w:val="auto"/>
                <w:sz w:val="24"/>
                <w:szCs w:val="24"/>
                <w:highlight w:val="none"/>
              </w:rPr>
              <w:t>镉</w:t>
            </w:r>
            <w:r>
              <w:rPr>
                <w:rFonts w:hint="eastAsia"/>
                <w:color w:val="auto"/>
                <w:sz w:val="24"/>
                <w:szCs w:val="24"/>
                <w:highlight w:val="none"/>
                <w:lang w:eastAsia="zh-CN"/>
              </w:rPr>
              <w:t>、</w:t>
            </w:r>
            <w:r>
              <w:rPr>
                <w:rFonts w:hint="eastAsia"/>
                <w:color w:val="auto"/>
                <w:sz w:val="24"/>
                <w:szCs w:val="24"/>
                <w:highlight w:val="none"/>
              </w:rPr>
              <w:t>铬</w:t>
            </w:r>
            <w:r>
              <w:rPr>
                <w:rFonts w:hint="eastAsia"/>
                <w:color w:val="auto"/>
                <w:sz w:val="24"/>
                <w:szCs w:val="24"/>
                <w:highlight w:val="none"/>
                <w:lang w:eastAsia="zh-CN"/>
              </w:rPr>
              <w:t>、</w:t>
            </w:r>
            <w:r>
              <w:rPr>
                <w:rFonts w:hint="eastAsia"/>
                <w:color w:val="auto"/>
                <w:sz w:val="24"/>
                <w:szCs w:val="24"/>
                <w:highlight w:val="none"/>
              </w:rPr>
              <w:t>六价铬</w:t>
            </w:r>
            <w:r>
              <w:rPr>
                <w:rFonts w:hint="eastAsia"/>
                <w:color w:val="auto"/>
                <w:sz w:val="24"/>
                <w:szCs w:val="24"/>
                <w:highlight w:val="none"/>
                <w:lang w:eastAsia="zh-CN"/>
              </w:rPr>
              <w:t>、</w:t>
            </w:r>
            <w:r>
              <w:rPr>
                <w:rFonts w:hint="eastAsia"/>
                <w:color w:val="auto"/>
                <w:sz w:val="24"/>
                <w:szCs w:val="24"/>
                <w:highlight w:val="none"/>
              </w:rPr>
              <w:t>悬浮物</w:t>
            </w:r>
            <w:r>
              <w:rPr>
                <w:rFonts w:hint="eastAsia"/>
                <w:color w:val="auto"/>
                <w:sz w:val="24"/>
                <w:szCs w:val="24"/>
                <w:highlight w:val="none"/>
                <w:lang w:eastAsia="zh-CN"/>
              </w:rPr>
              <w:t>、</w:t>
            </w:r>
            <w:r>
              <w:rPr>
                <w:rFonts w:hint="eastAsia"/>
                <w:color w:val="auto"/>
                <w:sz w:val="24"/>
                <w:szCs w:val="24"/>
                <w:highlight w:val="none"/>
              </w:rPr>
              <w:t>粪大肠菌群</w:t>
            </w:r>
          </w:p>
        </w:tc>
        <w:tc>
          <w:tcPr>
            <w:tcW w:w="1265" w:type="dxa"/>
            <w:vAlign w:val="center"/>
          </w:tcPr>
          <w:p>
            <w:pPr>
              <w:snapToGrid w:val="0"/>
              <w:jc w:val="center"/>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1</w:t>
            </w:r>
          </w:p>
        </w:tc>
        <w:tc>
          <w:tcPr>
            <w:tcW w:w="1718" w:type="dxa"/>
            <w:vAlign w:val="center"/>
          </w:tcPr>
          <w:p>
            <w:pPr>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连续监测2天，每天监测3次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28" w:hRule="atLeast"/>
        </w:trPr>
        <w:tc>
          <w:tcPr>
            <w:tcW w:w="1191" w:type="dxa"/>
            <w:vMerge w:val="continue"/>
            <w:vAlign w:val="center"/>
          </w:tcPr>
          <w:p>
            <w:pPr>
              <w:jc w:val="center"/>
              <w:rPr>
                <w:rFonts w:hint="eastAsia" w:cs="Times New Roman"/>
                <w:bCs/>
                <w:color w:val="auto"/>
                <w:sz w:val="24"/>
                <w:szCs w:val="24"/>
                <w:highlight w:val="none"/>
                <w:lang w:eastAsia="zh-CN"/>
              </w:rPr>
            </w:pPr>
          </w:p>
        </w:tc>
        <w:tc>
          <w:tcPr>
            <w:tcW w:w="2215" w:type="dxa"/>
            <w:vAlign w:val="center"/>
          </w:tcPr>
          <w:p>
            <w:pPr>
              <w:snapToGrid w:val="0"/>
              <w:jc w:val="center"/>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污水处理站出口</w:t>
            </w:r>
          </w:p>
        </w:tc>
        <w:tc>
          <w:tcPr>
            <w:tcW w:w="2133" w:type="dxa"/>
            <w:vMerge w:val="continue"/>
            <w:vAlign w:val="center"/>
          </w:tcPr>
          <w:p>
            <w:pPr>
              <w:snapToGrid w:val="0"/>
              <w:jc w:val="center"/>
              <w:rPr>
                <w:rFonts w:hint="default" w:ascii="Times New Roman" w:hAnsi="Times New Roman" w:cs="Times New Roman"/>
                <w:bCs/>
                <w:color w:val="auto"/>
                <w:sz w:val="24"/>
                <w:szCs w:val="24"/>
                <w:highlight w:val="none"/>
                <w:lang w:eastAsia="zh-CN"/>
              </w:rPr>
            </w:pPr>
          </w:p>
        </w:tc>
        <w:tc>
          <w:tcPr>
            <w:tcW w:w="1265" w:type="dxa"/>
            <w:vAlign w:val="center"/>
          </w:tcPr>
          <w:p>
            <w:pPr>
              <w:snapToGrid w:val="0"/>
              <w:jc w:val="center"/>
              <w:rPr>
                <w:rFonts w:hint="default" w:ascii="Times New Roman" w:hAnsi="Times New Roman" w:cs="Times New Roman"/>
                <w:bCs/>
                <w:color w:val="auto"/>
                <w:sz w:val="24"/>
                <w:szCs w:val="24"/>
                <w:highlight w:val="none"/>
                <w:lang w:val="en-US" w:eastAsia="zh-CN"/>
              </w:rPr>
            </w:pPr>
            <w:r>
              <w:rPr>
                <w:rFonts w:hint="eastAsia" w:cs="Times New Roman"/>
                <w:bCs/>
                <w:color w:val="auto"/>
                <w:sz w:val="24"/>
                <w:szCs w:val="24"/>
                <w:highlight w:val="none"/>
                <w:lang w:val="en-US" w:eastAsia="zh-CN"/>
              </w:rPr>
              <w:t>1</w:t>
            </w:r>
          </w:p>
        </w:tc>
        <w:tc>
          <w:tcPr>
            <w:tcW w:w="1718" w:type="dxa"/>
            <w:vAlign w:val="center"/>
          </w:tcPr>
          <w:p>
            <w:pPr>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连续监测2天，每天监测3次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191" w:type="dxa"/>
            <w:vMerge w:val="restart"/>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噪声</w:t>
            </w:r>
          </w:p>
        </w:tc>
        <w:tc>
          <w:tcPr>
            <w:tcW w:w="2215"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厂界南侧▲1</w:t>
            </w:r>
          </w:p>
        </w:tc>
        <w:tc>
          <w:tcPr>
            <w:tcW w:w="2133" w:type="dxa"/>
            <w:vMerge w:val="restart"/>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噪声</w:t>
            </w:r>
          </w:p>
        </w:tc>
        <w:tc>
          <w:tcPr>
            <w:tcW w:w="1265" w:type="dxa"/>
            <w:vMerge w:val="restart"/>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4</w:t>
            </w:r>
          </w:p>
        </w:tc>
        <w:tc>
          <w:tcPr>
            <w:tcW w:w="1718" w:type="dxa"/>
            <w:vMerge w:val="restart"/>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每天4次，昼间监测2次，夜间监测2次，连续监测2天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厂界东侧▲2</w:t>
            </w:r>
          </w:p>
        </w:tc>
        <w:tc>
          <w:tcPr>
            <w:tcW w:w="2133" w:type="dxa"/>
            <w:vMerge w:val="continue"/>
            <w:vAlign w:val="center"/>
          </w:tcPr>
          <w:p>
            <w:pPr>
              <w:jc w:val="center"/>
              <w:rPr>
                <w:rFonts w:hint="default" w:ascii="Times New Roman" w:hAnsi="Times New Roman" w:cs="Times New Roman"/>
                <w:bCs/>
                <w:color w:val="auto"/>
                <w:sz w:val="24"/>
                <w:szCs w:val="24"/>
                <w:highlight w:val="none"/>
              </w:rPr>
            </w:pPr>
          </w:p>
        </w:tc>
        <w:tc>
          <w:tcPr>
            <w:tcW w:w="1265" w:type="dxa"/>
            <w:vMerge w:val="continue"/>
            <w:vAlign w:val="center"/>
          </w:tcPr>
          <w:p>
            <w:pPr>
              <w:jc w:val="center"/>
              <w:rPr>
                <w:rFonts w:hint="default" w:ascii="Times New Roman" w:hAnsi="Times New Roman" w:cs="Times New Roman"/>
                <w:bCs/>
                <w:color w:val="auto"/>
                <w:sz w:val="24"/>
                <w:szCs w:val="24"/>
                <w:highlight w:val="none"/>
              </w:rPr>
            </w:pPr>
          </w:p>
        </w:tc>
        <w:tc>
          <w:tcPr>
            <w:tcW w:w="1718" w:type="dxa"/>
            <w:vMerge w:val="continue"/>
            <w:vAlign w:val="center"/>
          </w:tcPr>
          <w:p>
            <w:pPr>
              <w:jc w:val="center"/>
              <w:rPr>
                <w:rFonts w:hint="default" w:ascii="Times New Roman" w:hAnsi="Times New Roman"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厂界北侧▲3</w:t>
            </w:r>
          </w:p>
        </w:tc>
        <w:tc>
          <w:tcPr>
            <w:tcW w:w="2133" w:type="dxa"/>
            <w:vMerge w:val="continue"/>
            <w:vAlign w:val="center"/>
          </w:tcPr>
          <w:p>
            <w:pPr>
              <w:jc w:val="center"/>
              <w:rPr>
                <w:rFonts w:hint="default" w:ascii="Times New Roman" w:hAnsi="Times New Roman" w:cs="Times New Roman"/>
                <w:bCs/>
                <w:color w:val="auto"/>
                <w:sz w:val="24"/>
                <w:szCs w:val="24"/>
                <w:highlight w:val="none"/>
              </w:rPr>
            </w:pPr>
          </w:p>
        </w:tc>
        <w:tc>
          <w:tcPr>
            <w:tcW w:w="1265" w:type="dxa"/>
            <w:vMerge w:val="continue"/>
            <w:vAlign w:val="center"/>
          </w:tcPr>
          <w:p>
            <w:pPr>
              <w:jc w:val="center"/>
              <w:rPr>
                <w:rFonts w:hint="default" w:ascii="Times New Roman" w:hAnsi="Times New Roman" w:cs="Times New Roman"/>
                <w:bCs/>
                <w:color w:val="auto"/>
                <w:sz w:val="24"/>
                <w:szCs w:val="24"/>
                <w:highlight w:val="none"/>
              </w:rPr>
            </w:pPr>
          </w:p>
        </w:tc>
        <w:tc>
          <w:tcPr>
            <w:tcW w:w="1718" w:type="dxa"/>
            <w:vMerge w:val="continue"/>
            <w:vAlign w:val="center"/>
          </w:tcPr>
          <w:p>
            <w:pPr>
              <w:jc w:val="center"/>
              <w:rPr>
                <w:rFonts w:hint="default" w:ascii="Times New Roman" w:hAnsi="Times New Roman"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191" w:type="dxa"/>
            <w:vMerge w:val="continue"/>
            <w:vAlign w:val="center"/>
          </w:tcPr>
          <w:p>
            <w:pPr>
              <w:jc w:val="center"/>
              <w:rPr>
                <w:rFonts w:hint="default" w:ascii="Times New Roman" w:hAnsi="Times New Roman" w:cs="Times New Roman"/>
                <w:bCs/>
                <w:color w:val="auto"/>
                <w:sz w:val="24"/>
                <w:szCs w:val="24"/>
                <w:highlight w:val="none"/>
              </w:rPr>
            </w:pPr>
          </w:p>
        </w:tc>
        <w:tc>
          <w:tcPr>
            <w:tcW w:w="2215"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厂界西侧▲4</w:t>
            </w:r>
          </w:p>
        </w:tc>
        <w:tc>
          <w:tcPr>
            <w:tcW w:w="2133" w:type="dxa"/>
            <w:vMerge w:val="continue"/>
            <w:vAlign w:val="center"/>
          </w:tcPr>
          <w:p>
            <w:pPr>
              <w:jc w:val="center"/>
              <w:rPr>
                <w:rFonts w:hint="default" w:ascii="Times New Roman" w:hAnsi="Times New Roman" w:cs="Times New Roman"/>
                <w:bCs/>
                <w:color w:val="auto"/>
                <w:sz w:val="24"/>
                <w:szCs w:val="24"/>
                <w:highlight w:val="none"/>
              </w:rPr>
            </w:pPr>
          </w:p>
        </w:tc>
        <w:tc>
          <w:tcPr>
            <w:tcW w:w="1265" w:type="dxa"/>
            <w:vMerge w:val="continue"/>
            <w:vAlign w:val="center"/>
          </w:tcPr>
          <w:p>
            <w:pPr>
              <w:jc w:val="center"/>
              <w:rPr>
                <w:rFonts w:hint="default" w:ascii="Times New Roman" w:hAnsi="Times New Roman" w:cs="Times New Roman"/>
                <w:bCs/>
                <w:color w:val="auto"/>
                <w:sz w:val="24"/>
                <w:szCs w:val="24"/>
                <w:highlight w:val="none"/>
              </w:rPr>
            </w:pPr>
          </w:p>
        </w:tc>
        <w:tc>
          <w:tcPr>
            <w:tcW w:w="1718" w:type="dxa"/>
            <w:vMerge w:val="continue"/>
            <w:vAlign w:val="center"/>
          </w:tcPr>
          <w:p>
            <w:pPr>
              <w:jc w:val="center"/>
              <w:rPr>
                <w:rFonts w:hint="default" w:ascii="Times New Roman" w:hAnsi="Times New Roman"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3" w:hRule="exact"/>
        </w:trPr>
        <w:tc>
          <w:tcPr>
            <w:tcW w:w="1191" w:type="dxa"/>
            <w:vAlign w:val="center"/>
          </w:tcPr>
          <w:p>
            <w:pPr>
              <w:jc w:val="center"/>
              <w:rPr>
                <w:rFonts w:hint="default" w:ascii="Times New Roman" w:hAnsi="Times New Roman" w:eastAsia="宋体" w:cs="Times New Roman"/>
                <w:bCs/>
                <w:color w:val="auto"/>
                <w:sz w:val="24"/>
                <w:szCs w:val="24"/>
                <w:highlight w:val="none"/>
                <w:lang w:eastAsia="zh-CN"/>
              </w:rPr>
            </w:pPr>
            <w:r>
              <w:rPr>
                <w:rFonts w:hint="default" w:ascii="Times New Roman" w:hAnsi="Times New Roman" w:cs="Times New Roman"/>
                <w:bCs/>
                <w:color w:val="auto"/>
                <w:sz w:val="24"/>
                <w:szCs w:val="24"/>
                <w:highlight w:val="none"/>
                <w:lang w:eastAsia="zh-CN"/>
              </w:rPr>
              <w:t>大气环境</w:t>
            </w:r>
          </w:p>
        </w:tc>
        <w:tc>
          <w:tcPr>
            <w:tcW w:w="2215" w:type="dxa"/>
            <w:vAlign w:val="center"/>
          </w:tcPr>
          <w:p>
            <w:pPr>
              <w:jc w:val="center"/>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二道河农场学校</w:t>
            </w:r>
          </w:p>
        </w:tc>
        <w:tc>
          <w:tcPr>
            <w:tcW w:w="2133" w:type="dxa"/>
            <w:vAlign w:val="center"/>
          </w:tcPr>
          <w:p>
            <w:pPr>
              <w:jc w:val="center"/>
              <w:rPr>
                <w:rFonts w:hint="default" w:ascii="Times New Roman" w:hAnsi="Times New Roman" w:cs="Times New Roman"/>
                <w:bCs/>
                <w:color w:val="auto"/>
                <w:sz w:val="24"/>
                <w:szCs w:val="24"/>
                <w:highlight w:val="none"/>
              </w:rPr>
            </w:pP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p>
        </w:tc>
        <w:tc>
          <w:tcPr>
            <w:tcW w:w="1265" w:type="dxa"/>
            <w:vAlign w:val="center"/>
          </w:tcPr>
          <w:p>
            <w:pPr>
              <w:jc w:val="center"/>
              <w:rPr>
                <w:rFonts w:hint="default" w:ascii="Times New Roman" w:hAnsi="Times New Roman" w:cs="Times New Roman"/>
                <w:bCs/>
                <w:color w:val="auto"/>
                <w:sz w:val="24"/>
                <w:szCs w:val="24"/>
                <w:highlight w:val="none"/>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每天3次，连续监测2天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29" w:hRule="exact"/>
        </w:trPr>
        <w:tc>
          <w:tcPr>
            <w:tcW w:w="1191" w:type="dxa"/>
            <w:vAlign w:val="center"/>
          </w:tcPr>
          <w:p>
            <w:pPr>
              <w:jc w:val="center"/>
              <w:rPr>
                <w:rFonts w:hint="default" w:ascii="Times New Roman" w:hAnsi="Times New Roman" w:eastAsia="宋体" w:cs="Times New Roman"/>
                <w:bCs/>
                <w:color w:val="auto"/>
                <w:sz w:val="24"/>
                <w:szCs w:val="24"/>
                <w:highlight w:val="none"/>
                <w:lang w:eastAsia="zh-CN"/>
              </w:rPr>
            </w:pPr>
            <w:r>
              <w:rPr>
                <w:rFonts w:hint="default" w:ascii="Times New Roman" w:hAnsi="Times New Roman" w:cs="Times New Roman"/>
                <w:bCs/>
                <w:color w:val="auto"/>
                <w:sz w:val="24"/>
                <w:szCs w:val="24"/>
                <w:highlight w:val="none"/>
                <w:lang w:eastAsia="zh-CN"/>
              </w:rPr>
              <w:t>声环境</w:t>
            </w:r>
          </w:p>
        </w:tc>
        <w:tc>
          <w:tcPr>
            <w:tcW w:w="2215" w:type="dxa"/>
            <w:vAlign w:val="center"/>
          </w:tcPr>
          <w:p>
            <w:pPr>
              <w:jc w:val="center"/>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二道河农场学校</w:t>
            </w:r>
          </w:p>
        </w:tc>
        <w:tc>
          <w:tcPr>
            <w:tcW w:w="2133" w:type="dxa"/>
            <w:vAlign w:val="center"/>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噪声</w:t>
            </w:r>
          </w:p>
        </w:tc>
        <w:tc>
          <w:tcPr>
            <w:tcW w:w="1265" w:type="dxa"/>
            <w:vAlign w:val="center"/>
          </w:tcPr>
          <w:p>
            <w:pPr>
              <w:jc w:val="center"/>
              <w:rPr>
                <w:rFonts w:hint="default"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1</w:t>
            </w:r>
          </w:p>
        </w:tc>
        <w:tc>
          <w:tcPr>
            <w:tcW w:w="1718" w:type="dxa"/>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每天4次，昼间监测2次，夜间监测2次，连续监测2天</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47" w:name="_Toc17220_WPSOffice_Level1"/>
      <w:bookmarkStart w:id="48" w:name="_Toc26339_WPSOffice_Level1"/>
      <w:bookmarkStart w:id="49" w:name="_Toc22859"/>
      <w:bookmarkStart w:id="50" w:name="_Toc515715408"/>
      <w:bookmarkStart w:id="51" w:name="_Toc8311_WPSOffice_Level1"/>
      <w:r>
        <w:rPr>
          <w:rFonts w:hint="default" w:ascii="Times New Roman" w:hAnsi="Times New Roman" w:cs="Times New Roman"/>
          <w:b/>
          <w:color w:val="auto"/>
          <w:kern w:val="0"/>
          <w:sz w:val="30"/>
          <w:szCs w:val="22"/>
          <w:highlight w:val="none"/>
        </w:rPr>
        <w:t>表七 监测结果及评价</w:t>
      </w:r>
      <w:bookmarkEnd w:id="47"/>
      <w:bookmarkEnd w:id="48"/>
      <w:bookmarkEnd w:id="49"/>
      <w:bookmarkEnd w:id="50"/>
      <w:bookmarkEnd w:id="51"/>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9" w:hRule="atLeast"/>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验收监测期间生产工况记录：</w:t>
            </w:r>
          </w:p>
          <w:p>
            <w:pPr>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eastAsia="宋体" w:cs="Times New Roman"/>
                <w:color w:val="auto"/>
                <w:sz w:val="24"/>
                <w:szCs w:val="24"/>
                <w:highlight w:val="none"/>
                <w:lang w:val="zh-TW" w:eastAsia="zh-CN"/>
              </w:rPr>
              <w:t>生产处于正常。监测期间生产运行稳定，各污染治理设施运行正常。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7" w:hRule="atLeast"/>
        </w:trPr>
        <w:tc>
          <w:tcPr>
            <w:tcW w:w="8522" w:type="dxa"/>
            <w:vAlign w:val="top"/>
          </w:tcPr>
          <w:p>
            <w:pPr>
              <w:spacing w:line="360" w:lineRule="auto"/>
              <w:rPr>
                <w:rFonts w:hint="default" w:ascii="Times New Roman" w:hAnsi="Times New Roman" w:cs="Times New Roman"/>
                <w:color w:val="auto"/>
                <w:sz w:val="24"/>
                <w:szCs w:val="24"/>
                <w:highlight w:val="none"/>
                <w:lang w:val="zh-TW" w:eastAsia="zh-CN"/>
              </w:rPr>
            </w:pPr>
            <w:r>
              <w:rPr>
                <w:rFonts w:hint="default" w:ascii="Times New Roman" w:hAnsi="Times New Roman" w:cs="Times New Roman"/>
                <w:color w:val="auto"/>
                <w:sz w:val="24"/>
                <w:szCs w:val="24"/>
                <w:highlight w:val="none"/>
                <w:lang w:val="zh-TW" w:eastAsia="zh-CN"/>
              </w:rPr>
              <w:t>验收监测结果：</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1、污染物排放情况</w:t>
            </w:r>
          </w:p>
          <w:p>
            <w:pPr>
              <w:spacing w:line="360" w:lineRule="auto"/>
              <w:ind w:firstLine="480" w:firstLineChars="200"/>
              <w:rPr>
                <w:rFonts w:hint="default" w:ascii="Times New Roman" w:hAnsi="Times New Roman" w:cs="Times New Roman"/>
                <w:color w:val="auto"/>
                <w:sz w:val="24"/>
                <w:szCs w:val="24"/>
                <w:highlight w:val="none"/>
                <w:lang w:val="zh-TW" w:eastAsia="zh-CN"/>
              </w:rPr>
            </w:pPr>
            <w:r>
              <w:rPr>
                <w:rFonts w:hint="eastAsia" w:cs="Times New Roman"/>
                <w:color w:val="auto"/>
                <w:sz w:val="24"/>
                <w:szCs w:val="24"/>
                <w:highlight w:val="none"/>
                <w:lang w:val="zh-TW" w:eastAsia="zh-CN"/>
              </w:rPr>
              <w:t>①</w:t>
            </w:r>
            <w:r>
              <w:rPr>
                <w:rFonts w:hint="default" w:ascii="Times New Roman" w:hAnsi="Times New Roman" w:cs="Times New Roman"/>
                <w:color w:val="auto"/>
                <w:sz w:val="24"/>
                <w:szCs w:val="24"/>
                <w:highlight w:val="none"/>
                <w:lang w:val="zh-TW" w:eastAsia="zh-CN"/>
              </w:rPr>
              <w:t>有组织废气验收监测结果及评价</w:t>
            </w:r>
          </w:p>
          <w:p>
            <w:pPr>
              <w:spacing w:line="360" w:lineRule="auto"/>
              <w:ind w:firstLine="480" w:firstLineChars="200"/>
              <w:rPr>
                <w:rFonts w:hint="default" w:ascii="Times New Roman" w:hAnsi="Times New Roman" w:cs="Times New Roman"/>
                <w:color w:val="auto"/>
                <w:sz w:val="24"/>
                <w:szCs w:val="24"/>
                <w:highlight w:val="none"/>
                <w:lang w:val="zh-TW" w:eastAsia="zh-CN"/>
              </w:rPr>
            </w:pPr>
            <w:r>
              <w:rPr>
                <w:rFonts w:hint="eastAsia" w:cs="Times New Roman"/>
                <w:color w:val="auto"/>
                <w:sz w:val="24"/>
                <w:szCs w:val="24"/>
                <w:highlight w:val="none"/>
                <w:lang w:val="zh-TW" w:eastAsia="zh-CN"/>
              </w:rPr>
              <w:t>有组织废气</w:t>
            </w:r>
            <w:r>
              <w:rPr>
                <w:rFonts w:hint="default" w:ascii="Times New Roman" w:hAnsi="Times New Roman" w:cs="Times New Roman"/>
                <w:color w:val="auto"/>
                <w:sz w:val="24"/>
                <w:szCs w:val="24"/>
                <w:highlight w:val="none"/>
                <w:lang w:val="zh-TW" w:eastAsia="zh-CN"/>
              </w:rPr>
              <w:t>监测结果见表7-1</w:t>
            </w:r>
            <w:r>
              <w:rPr>
                <w:rFonts w:hint="eastAsia" w:cs="Times New Roman"/>
                <w:color w:val="auto"/>
                <w:sz w:val="24"/>
                <w:szCs w:val="24"/>
                <w:highlight w:val="none"/>
                <w:lang w:val="zh-TW" w:eastAsia="zh-CN"/>
              </w:rPr>
              <w:t>、</w:t>
            </w:r>
            <w:r>
              <w:rPr>
                <w:rFonts w:hint="eastAsia" w:cs="Times New Roman"/>
                <w:color w:val="auto"/>
                <w:sz w:val="24"/>
                <w:szCs w:val="24"/>
                <w:highlight w:val="none"/>
                <w:lang w:val="en-US" w:eastAsia="zh-CN"/>
              </w:rPr>
              <w:t>7-2</w:t>
            </w:r>
            <w:r>
              <w:rPr>
                <w:rFonts w:hint="default" w:ascii="Times New Roman" w:hAnsi="Times New Roman" w:cs="Times New Roman"/>
                <w:color w:val="auto"/>
                <w:sz w:val="24"/>
                <w:szCs w:val="24"/>
                <w:highlight w:val="none"/>
                <w:lang w:val="zh-TW"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lang w:val="zh-TW"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7-1</w:t>
            </w:r>
            <w:r>
              <w:rPr>
                <w:rFonts w:hint="eastAsia" w:eastAsia="黑体" w:cs="Times New Roman"/>
                <w:b w:val="0"/>
                <w:bCs/>
                <w:color w:val="auto"/>
                <w:kern w:val="0"/>
                <w:sz w:val="21"/>
                <w:szCs w:val="21"/>
                <w:highlight w:val="none"/>
                <w:lang w:eastAsia="zh-CN"/>
              </w:rPr>
              <w:t>有组织</w:t>
            </w:r>
            <w:r>
              <w:rPr>
                <w:rFonts w:hint="default" w:ascii="Times New Roman" w:hAnsi="Times New Roman" w:eastAsia="黑体" w:cs="Times New Roman"/>
                <w:b w:val="0"/>
                <w:bCs/>
                <w:color w:val="auto"/>
                <w:kern w:val="0"/>
                <w:sz w:val="21"/>
                <w:szCs w:val="21"/>
                <w:highlight w:val="none"/>
              </w:rPr>
              <w:t>废气检测结果</w:t>
            </w:r>
          </w:p>
          <w:tbl>
            <w:tblPr>
              <w:tblStyle w:val="11"/>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
              <w:gridCol w:w="1131"/>
              <w:gridCol w:w="2293"/>
              <w:gridCol w:w="1663"/>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 w:hRule="atLeast"/>
                <w:tblHeader/>
                <w:jc w:val="center"/>
              </w:trPr>
              <w:tc>
                <w:tcPr>
                  <w:tcW w:w="729" w:type="dxa"/>
                  <w:tcBorders>
                    <w:top w:val="single" w:color="auto" w:sz="12" w:space="0"/>
                    <w:left w:val="nil"/>
                  </w:tcBorders>
                  <w:vAlign w:val="center"/>
                </w:tcPr>
                <w:p>
                  <w:pPr>
                    <w:spacing w:line="240" w:lineRule="auto"/>
                    <w:ind w:left="-105" w:leftChars="-50" w:right="-105" w:rightChars="-5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采样点</w:t>
                  </w:r>
                </w:p>
              </w:tc>
              <w:tc>
                <w:tcPr>
                  <w:tcW w:w="891" w:type="dxa"/>
                  <w:tcBorders>
                    <w:top w:val="single" w:color="auto" w:sz="12" w:space="0"/>
                  </w:tcBorders>
                  <w:vAlign w:val="center"/>
                </w:tcPr>
                <w:p>
                  <w:pPr>
                    <w:spacing w:line="240" w:lineRule="auto"/>
                    <w:ind w:left="-105" w:leftChars="-50" w:right="-105" w:rightChars="-5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检测项目</w:t>
                  </w:r>
                </w:p>
              </w:tc>
              <w:tc>
                <w:tcPr>
                  <w:tcW w:w="1131" w:type="dxa"/>
                  <w:tcBorders>
                    <w:top w:val="single" w:color="auto" w:sz="12" w:space="0"/>
                  </w:tcBorders>
                  <w:vAlign w:val="center"/>
                </w:tcPr>
                <w:p>
                  <w:pPr>
                    <w:spacing w:line="240" w:lineRule="auto"/>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采样时间</w:t>
                  </w:r>
                </w:p>
              </w:tc>
              <w:tc>
                <w:tcPr>
                  <w:tcW w:w="2293" w:type="dxa"/>
                  <w:tcBorders>
                    <w:top w:val="single" w:color="auto" w:sz="12" w:space="0"/>
                  </w:tcBorders>
                  <w:vAlign w:val="center"/>
                </w:tcPr>
                <w:p>
                  <w:pPr>
                    <w:spacing w:line="240" w:lineRule="auto"/>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实际排放浓</w:t>
                  </w:r>
                  <w:r>
                    <w:rPr>
                      <w:rFonts w:hint="default" w:ascii="Times New Roman" w:hAnsi="Times New Roman" w:eastAsia="宋体" w:cs="Times New Roman"/>
                      <w:b w:val="0"/>
                      <w:bCs w:val="0"/>
                      <w:color w:val="auto"/>
                      <w:sz w:val="21"/>
                      <w:szCs w:val="21"/>
                      <w:highlight w:val="none"/>
                      <w:lang w:eastAsia="zh-CN"/>
                    </w:rPr>
                    <w:t>度</w:t>
                  </w:r>
                  <w:r>
                    <w:rPr>
                      <w:rFonts w:hint="default" w:ascii="Times New Roman" w:hAnsi="Times New Roman" w:eastAsia="宋体" w:cs="Times New Roman"/>
                      <w:b w:val="0"/>
                      <w:bCs w:val="0"/>
                      <w:color w:val="auto"/>
                      <w:sz w:val="21"/>
                      <w:szCs w:val="21"/>
                      <w:highlight w:val="none"/>
                    </w:rPr>
                    <w:t>（mg/m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w:t>
                  </w:r>
                </w:p>
              </w:tc>
              <w:tc>
                <w:tcPr>
                  <w:tcW w:w="1663" w:type="dxa"/>
                  <w:tcBorders>
                    <w:top w:val="single" w:color="auto" w:sz="12" w:space="0"/>
                  </w:tcBorders>
                  <w:vAlign w:val="center"/>
                </w:tcPr>
                <w:p>
                  <w:pPr>
                    <w:spacing w:line="240" w:lineRule="auto"/>
                    <w:ind w:left="-105" w:leftChars="-50" w:right="-105" w:rightChars="-5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废气量（m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/h）</w:t>
                  </w:r>
                </w:p>
              </w:tc>
              <w:tc>
                <w:tcPr>
                  <w:tcW w:w="1599" w:type="dxa"/>
                  <w:tcBorders>
                    <w:top w:val="single" w:color="auto" w:sz="12" w:space="0"/>
                    <w:right w:val="nil"/>
                  </w:tcBorders>
                  <w:vAlign w:val="center"/>
                </w:tcPr>
                <w:p>
                  <w:pPr>
                    <w:spacing w:line="240" w:lineRule="auto"/>
                    <w:ind w:left="-105" w:leftChars="-50" w:right="-105" w:rightChars="-5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restart"/>
                  <w:tcBorders>
                    <w:left w:val="nil"/>
                  </w:tcBorders>
                  <w:vAlign w:val="center"/>
                </w:tcPr>
                <w:p>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1</w:t>
                  </w:r>
                  <w:r>
                    <w:rPr>
                      <w:rFonts w:hint="default" w:ascii="Times New Roman" w:hAnsi="Times New Roman" w:cs="Times New Roman"/>
                      <w:color w:val="auto"/>
                      <w:sz w:val="21"/>
                      <w:szCs w:val="21"/>
                      <w:highlight w:val="none"/>
                    </w:rPr>
                    <w:t>◎</w:t>
                  </w:r>
                </w:p>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预处理间</w:t>
                  </w:r>
                  <w:r>
                    <w:rPr>
                      <w:rFonts w:hint="default" w:ascii="Times New Roman" w:hAnsi="Times New Roman" w:cs="Times New Roman"/>
                      <w:color w:val="auto"/>
                      <w:sz w:val="21"/>
                      <w:szCs w:val="21"/>
                      <w:highlight w:val="none"/>
                    </w:rPr>
                    <w:t>除臭设备处理前</w:t>
                  </w: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氨</w:t>
                  </w: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2018.10.17</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18.6</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2547</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18.2</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2651</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17.9</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2526</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0.0452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2018.10.18</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18.5</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2631</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0.0487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18.7</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2708</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17.5</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2522</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0.0441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硫化氢</w:t>
                  </w: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2018.10.17</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8.62</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2547</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8.54</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2651</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8.59</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2526</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2018.10.18</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8.55</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2631</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8.57</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2708</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8.53</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2522</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restart"/>
                  <w:tcBorders>
                    <w:left w:val="nil"/>
                  </w:tcBorders>
                  <w:vAlign w:val="center"/>
                </w:tcPr>
                <w:p>
                  <w:pPr>
                    <w:spacing w:line="240" w:lineRule="auto"/>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w:t>
                  </w:r>
                </w:p>
                <w:p>
                  <w:pPr>
                    <w:spacing w:line="24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预处理间</w:t>
                  </w:r>
                  <w:r>
                    <w:rPr>
                      <w:rFonts w:hint="default" w:ascii="Times New Roman" w:hAnsi="Times New Roman" w:cs="Times New Roman"/>
                      <w:color w:val="auto"/>
                      <w:sz w:val="21"/>
                      <w:szCs w:val="21"/>
                      <w:highlight w:val="none"/>
                    </w:rPr>
                    <w:t>除臭设备处理后</w:t>
                  </w: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氨</w:t>
                  </w: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2018.10.17</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7.18</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2554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7.22</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2612</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7.19</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2548</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2018.10.18</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7.23</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2614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7.20</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2564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7.21</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2623</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rPr>
                      <w:rFonts w:hint="default" w:ascii="Times New Roman" w:hAnsi="Times New Roman" w:cs="Times New Roman"/>
                      <w:color w:val="auto"/>
                      <w:sz w:val="21"/>
                      <w:szCs w:val="21"/>
                      <w:highlight w:val="none"/>
                    </w:rPr>
                  </w:pP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硫化氢</w:t>
                  </w: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2018.10.17</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3.69</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2554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0.00942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3.85</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2612</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0.0101</w:t>
                  </w:r>
                  <w:r>
                    <w:rPr>
                      <w:rFonts w:hint="default" w:ascii="Times New Roman" w:hAnsi="Times New Roman" w:eastAsia="宋体" w:cs="Times New Roman"/>
                      <w:color w:val="auto"/>
                      <w:sz w:val="21"/>
                      <w:szCs w:val="21"/>
                      <w:highlight w:val="no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3.76</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2548</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0.00958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2018.10.18</w:t>
                  </w: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3.45</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2614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3.56</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2564</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0.00913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p>
              </w:tc>
              <w:tc>
                <w:tcPr>
                  <w:tcW w:w="2293" w:type="dxa"/>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kern w:val="0"/>
                      <w:sz w:val="21"/>
                      <w:szCs w:val="21"/>
                      <w:highlight w:val="none"/>
                    </w:rPr>
                    <w:t>3.64</w:t>
                  </w:r>
                </w:p>
              </w:tc>
              <w:tc>
                <w:tcPr>
                  <w:tcW w:w="1663" w:type="dxa"/>
                  <w:vAlign w:val="center"/>
                </w:tcPr>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2623</w:t>
                  </w:r>
                </w:p>
              </w:tc>
              <w:tc>
                <w:tcPr>
                  <w:tcW w:w="1599" w:type="dxa"/>
                  <w:tcBorders>
                    <w:right w:val="nil"/>
                  </w:tcBorders>
                  <w:vAlign w:val="center"/>
                </w:tcPr>
                <w:p>
                  <w:pPr>
                    <w:widowControl/>
                    <w:spacing w:line="240" w:lineRule="auto"/>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0.00955</w:t>
                  </w:r>
                </w:p>
              </w:tc>
            </w:tr>
          </w:tbl>
          <w:p>
            <w:pPr>
              <w:pStyle w:val="2"/>
              <w:ind w:left="0" w:leftChars="0" w:firstLine="0" w:firstLineChars="0"/>
              <w:rPr>
                <w:color w:val="auto"/>
                <w:highlight w:val="none"/>
              </w:rPr>
            </w:pPr>
          </w:p>
          <w:tbl>
            <w:tblPr>
              <w:tblStyle w:val="11"/>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891"/>
              <w:gridCol w:w="1131"/>
              <w:gridCol w:w="2293"/>
              <w:gridCol w:w="1663"/>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采样点</w:t>
                  </w:r>
                </w:p>
              </w:tc>
              <w:tc>
                <w:tcPr>
                  <w:tcW w:w="891" w:type="dxa"/>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检测项目</w:t>
                  </w:r>
                </w:p>
              </w:tc>
              <w:tc>
                <w:tcPr>
                  <w:tcW w:w="1131"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采样时间</w:t>
                  </w:r>
                </w:p>
              </w:tc>
              <w:tc>
                <w:tcPr>
                  <w:tcW w:w="2293" w:type="dxa"/>
                  <w:vAlign w:val="center"/>
                </w:tcPr>
                <w:p>
                  <w:pPr>
                    <w:spacing w:line="240" w:lineRule="auto"/>
                    <w:jc w:val="center"/>
                    <w:rPr>
                      <w:rFonts w:hint="default" w:ascii="Times New Roman" w:hAnsi="Times New Roman" w:cs="Times New Roman"/>
                      <w:color w:val="auto"/>
                      <w:kern w:val="0"/>
                      <w:sz w:val="21"/>
                      <w:szCs w:val="21"/>
                      <w:highlight w:val="none"/>
                    </w:rPr>
                  </w:pPr>
                  <w:r>
                    <w:rPr>
                      <w:rFonts w:hint="default" w:ascii="Times New Roman" w:hAnsi="Times New Roman" w:eastAsia="宋体" w:cs="Times New Roman"/>
                      <w:b w:val="0"/>
                      <w:bCs w:val="0"/>
                      <w:color w:val="auto"/>
                      <w:sz w:val="21"/>
                      <w:szCs w:val="21"/>
                      <w:highlight w:val="none"/>
                    </w:rPr>
                    <w:t>实际排放浓</w:t>
                  </w:r>
                  <w:r>
                    <w:rPr>
                      <w:rFonts w:hint="default" w:ascii="Times New Roman" w:hAnsi="Times New Roman" w:eastAsia="宋体" w:cs="Times New Roman"/>
                      <w:b w:val="0"/>
                      <w:bCs w:val="0"/>
                      <w:color w:val="auto"/>
                      <w:sz w:val="21"/>
                      <w:szCs w:val="21"/>
                      <w:highlight w:val="none"/>
                      <w:lang w:eastAsia="zh-CN"/>
                    </w:rPr>
                    <w:t>度</w:t>
                  </w:r>
                  <w:r>
                    <w:rPr>
                      <w:rFonts w:hint="default" w:ascii="Times New Roman" w:hAnsi="Times New Roman" w:eastAsia="宋体" w:cs="Times New Roman"/>
                      <w:b w:val="0"/>
                      <w:bCs w:val="0"/>
                      <w:color w:val="auto"/>
                      <w:sz w:val="21"/>
                      <w:szCs w:val="21"/>
                      <w:highlight w:val="none"/>
                    </w:rPr>
                    <w:t>（mg/m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w:t>
                  </w:r>
                </w:p>
              </w:tc>
              <w:tc>
                <w:tcPr>
                  <w:tcW w:w="1663" w:type="dxa"/>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废气量（m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/h）</w:t>
                  </w:r>
                </w:p>
              </w:tc>
              <w:tc>
                <w:tcPr>
                  <w:tcW w:w="1599" w:type="dxa"/>
                  <w:tcBorders>
                    <w:righ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restart"/>
                  <w:tcBorders>
                    <w:left w:val="nil"/>
                  </w:tcBorders>
                  <w:vAlign w:val="center"/>
                </w:tcPr>
                <w:p>
                  <w:pPr>
                    <w:spacing w:line="240" w:lineRule="exact"/>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3</w:t>
                  </w:r>
                  <w:r>
                    <w:rPr>
                      <w:rFonts w:hint="default" w:ascii="Times New Roman" w:hAnsi="Times New Roman" w:cs="Times New Roman"/>
                      <w:color w:val="auto"/>
                      <w:sz w:val="21"/>
                      <w:szCs w:val="21"/>
                      <w:highlight w:val="none"/>
                    </w:rPr>
                    <w:t>◎</w:t>
                  </w:r>
                </w:p>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CASS反应池除臭设备处理前</w:t>
                  </w: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氨</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17.8</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4878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17.5</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4785</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17.2</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4689</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17.0</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4778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17.4</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4857</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17.6</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4825</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0.0849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硫化氢</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8.57</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4874</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8.49</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4875</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8.67</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4889</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8.39</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4765</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8.54</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4858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8.55</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4768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restart"/>
                  <w:tcBorders>
                    <w:left w:val="nil"/>
                  </w:tcBorders>
                  <w:vAlign w:val="center"/>
                </w:tcPr>
                <w:p>
                  <w:pPr>
                    <w:spacing w:line="240" w:lineRule="exact"/>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4</w:t>
                  </w:r>
                  <w:r>
                    <w:rPr>
                      <w:rFonts w:hint="default" w:ascii="Times New Roman" w:hAnsi="Times New Roman" w:cs="Times New Roman"/>
                      <w:color w:val="auto"/>
                      <w:sz w:val="21"/>
                      <w:szCs w:val="21"/>
                      <w:highlight w:val="none"/>
                    </w:rPr>
                    <w:t>◎</w:t>
                  </w:r>
                </w:p>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污泥脱水间除臭设备处理前</w:t>
                  </w: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氨</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18.2</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2657</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18.1</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2668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18.7</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2754</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0.0515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18.3</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2753</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0.0504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18.0</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2743</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17.9</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2736</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0.0490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硫化氢</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7.88</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2678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7.98</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2658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7.68</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2689</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7.55</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2766</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7.67</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2746</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bidi="ar"/>
                    </w:rPr>
                    <w:t>7.69</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2778</w:t>
                  </w:r>
                </w:p>
              </w:tc>
              <w:tc>
                <w:tcPr>
                  <w:tcW w:w="1599" w:type="dxa"/>
                  <w:tcBorders>
                    <w:right w:val="nil"/>
                  </w:tcBorders>
                  <w:vAlign w:val="center"/>
                </w:tcPr>
                <w:p>
                  <w:pPr>
                    <w:widowControl/>
                    <w:jc w:val="center"/>
                    <w:textAlignment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 w:val="21"/>
                      <w:szCs w:val="21"/>
                      <w:highlight w:val="none"/>
                    </w:rPr>
                    <w:t>0.0214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restart"/>
                  <w:tcBorders>
                    <w:left w:val="nil"/>
                  </w:tcBorders>
                  <w:vAlign w:val="center"/>
                </w:tcPr>
                <w:p>
                  <w:pPr>
                    <w:spacing w:line="240" w:lineRule="exact"/>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5</w:t>
                  </w:r>
                  <w:r>
                    <w:rPr>
                      <w:rFonts w:hint="default" w:ascii="Times New Roman" w:hAnsi="Times New Roman" w:cs="Times New Roman"/>
                      <w:color w:val="auto"/>
                      <w:sz w:val="21"/>
                      <w:szCs w:val="21"/>
                      <w:highlight w:val="none"/>
                    </w:rPr>
                    <w:t>◎</w:t>
                  </w:r>
                </w:p>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CASS反应池及污泥脱水间除臭设备处理后</w:t>
                  </w: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氨</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7.33</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2015</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7.12</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2112</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7.26</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2089</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7.41</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2123</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7.31</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2099</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7.24</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2114</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0.0153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硫化氢</w:t>
                  </w: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2018.10.17</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3.12</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2078</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3.33</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2056</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3.25</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2087</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restart"/>
                  <w:vAlign w:val="center"/>
                </w:tcPr>
                <w:p>
                  <w:pPr>
                    <w:adjustRightInd w:val="0"/>
                    <w:snapToGrid w:val="0"/>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2018.10.18</w:t>
                  </w: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3.15</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2069</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3.21</w:t>
                  </w:r>
                </w:p>
              </w:tc>
              <w:tc>
                <w:tcPr>
                  <w:tcW w:w="1663" w:type="dxa"/>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2123</w:t>
                  </w:r>
                </w:p>
              </w:tc>
              <w:tc>
                <w:tcPr>
                  <w:tcW w:w="1599" w:type="dxa"/>
                  <w:tcBorders>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729" w:type="dxa"/>
                  <w:vMerge w:val="continue"/>
                  <w:tcBorders>
                    <w:left w:val="nil"/>
                    <w:bottom w:val="single" w:color="auto" w:sz="12" w:space="0"/>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891" w:type="dxa"/>
                  <w:vMerge w:val="continue"/>
                  <w:tcBorders>
                    <w:bottom w:val="single" w:color="auto" w:sz="12" w:space="0"/>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131" w:type="dxa"/>
                  <w:vMerge w:val="continue"/>
                  <w:tcBorders>
                    <w:bottom w:val="single" w:color="auto" w:sz="12" w:space="0"/>
                  </w:tcBorders>
                  <w:vAlign w:val="center"/>
                </w:tcPr>
                <w:p>
                  <w:pPr>
                    <w:adjustRightInd w:val="0"/>
                    <w:snapToGrid w:val="0"/>
                    <w:jc w:val="center"/>
                    <w:rPr>
                      <w:rFonts w:hint="default" w:ascii="Times New Roman" w:hAnsi="Times New Roman" w:eastAsia="宋体" w:cs="Times New Roman"/>
                      <w:color w:val="auto"/>
                      <w:sz w:val="21"/>
                      <w:szCs w:val="21"/>
                      <w:highlight w:val="none"/>
                    </w:rPr>
                  </w:pPr>
                </w:p>
              </w:tc>
              <w:tc>
                <w:tcPr>
                  <w:tcW w:w="2293" w:type="dxa"/>
                  <w:tcBorders>
                    <w:bottom w:val="single" w:color="auto" w:sz="12" w:space="0"/>
                  </w:tcBorders>
                  <w:vAlign w:val="center"/>
                </w:tcPr>
                <w:p>
                  <w:pPr>
                    <w:widowControl/>
                    <w:jc w:val="center"/>
                    <w:textAlignment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sz w:val="21"/>
                      <w:szCs w:val="21"/>
                      <w:highlight w:val="none"/>
                    </w:rPr>
                    <w:t>3.22</w:t>
                  </w:r>
                </w:p>
              </w:tc>
              <w:tc>
                <w:tcPr>
                  <w:tcW w:w="1663" w:type="dxa"/>
                  <w:tcBorders>
                    <w:bottom w:val="single" w:color="auto" w:sz="12" w:space="0"/>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2122</w:t>
                  </w:r>
                </w:p>
              </w:tc>
              <w:tc>
                <w:tcPr>
                  <w:tcW w:w="1599" w:type="dxa"/>
                  <w:tcBorders>
                    <w:bottom w:val="single" w:color="auto" w:sz="12" w:space="0"/>
                    <w:right w:val="nil"/>
                  </w:tcBorders>
                  <w:vAlign w:val="center"/>
                </w:tcPr>
                <w:p>
                  <w:pPr>
                    <w:adjustRightInd w:val="0"/>
                    <w:snapToGrid w:val="0"/>
                    <w:spacing w:line="240" w:lineRule="exact"/>
                    <w:jc w:val="center"/>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 w:val="21"/>
                      <w:szCs w:val="21"/>
                      <w:highlight w:val="none"/>
                    </w:rPr>
                    <w:t>0.00683</w:t>
                  </w:r>
                </w:p>
              </w:tc>
            </w:tr>
          </w:tbl>
          <w:p>
            <w:pPr>
              <w:spacing w:line="360" w:lineRule="auto"/>
              <w:jc w:val="both"/>
              <w:outlineLvl w:val="2"/>
              <w:rPr>
                <w:rFonts w:hint="eastAsia" w:ascii="Times New Roman" w:hAnsi="Times New Roman" w:eastAsia="黑体" w:cs="Times New Roman"/>
                <w:b w:val="0"/>
                <w:bCs/>
                <w:color w:val="auto"/>
                <w:kern w:val="0"/>
                <w:sz w:val="21"/>
                <w:szCs w:val="21"/>
                <w:highlight w:val="none"/>
                <w:lang w:val="en-US" w:eastAsia="zh-CN"/>
              </w:rPr>
            </w:pPr>
          </w:p>
          <w:p>
            <w:pPr>
              <w:spacing w:line="360" w:lineRule="auto"/>
              <w:jc w:val="both"/>
              <w:outlineLvl w:val="2"/>
              <w:rPr>
                <w:rFonts w:hint="eastAsia" w:ascii="Times New Roman" w:hAnsi="Times New Roman" w:eastAsia="黑体" w:cs="Times New Roman"/>
                <w:b w:val="0"/>
                <w:bCs/>
                <w:color w:val="auto"/>
                <w:kern w:val="0"/>
                <w:sz w:val="21"/>
                <w:szCs w:val="21"/>
                <w:highlight w:val="none"/>
                <w:lang w:val="en-US" w:eastAsia="zh-CN"/>
              </w:rPr>
            </w:pPr>
          </w:p>
          <w:p>
            <w:pPr>
              <w:spacing w:line="360" w:lineRule="auto"/>
              <w:jc w:val="center"/>
              <w:outlineLvl w:val="2"/>
              <w:rPr>
                <w:rFonts w:hint="eastAsia" w:ascii="Times New Roman" w:hAnsi="Times New Roman" w:eastAsia="黑体" w:cs="Times New Roman"/>
                <w:b w:val="0"/>
                <w:bCs/>
                <w:color w:val="auto"/>
                <w:kern w:val="0"/>
                <w:sz w:val="21"/>
                <w:szCs w:val="21"/>
                <w:highlight w:val="none"/>
                <w:lang w:val="en-US" w:eastAsia="zh-CN"/>
              </w:rPr>
            </w:pPr>
            <w:r>
              <w:rPr>
                <w:rFonts w:hint="eastAsia" w:ascii="Times New Roman" w:hAnsi="Times New Roman" w:eastAsia="黑体" w:cs="Times New Roman"/>
                <w:b w:val="0"/>
                <w:bCs/>
                <w:color w:val="auto"/>
                <w:kern w:val="0"/>
                <w:sz w:val="21"/>
                <w:szCs w:val="21"/>
                <w:highlight w:val="none"/>
                <w:lang w:val="en-US" w:eastAsia="zh-CN"/>
              </w:rPr>
              <w:t xml:space="preserve">表7.2 </w:t>
            </w:r>
            <w:r>
              <w:rPr>
                <w:rFonts w:hint="eastAsia" w:ascii="Times New Roman" w:hAnsi="Times New Roman" w:eastAsia="黑体" w:cs="Times New Roman"/>
                <w:b w:val="0"/>
                <w:bCs/>
                <w:color w:val="auto"/>
                <w:kern w:val="0"/>
                <w:sz w:val="21"/>
                <w:szCs w:val="21"/>
                <w:highlight w:val="none"/>
                <w:lang w:eastAsia="zh-CN"/>
              </w:rPr>
              <w:t>有组织废气臭气浓度检测结果</w:t>
            </w:r>
            <w:r>
              <w:rPr>
                <w:rFonts w:hint="eastAsia" w:eastAsia="黑体" w:cs="Times New Roman"/>
                <w:b w:val="0"/>
                <w:bCs/>
                <w:color w:val="auto"/>
                <w:kern w:val="0"/>
                <w:sz w:val="21"/>
                <w:szCs w:val="21"/>
                <w:highlight w:val="none"/>
                <w:lang w:val="en-US" w:eastAsia="zh-CN"/>
              </w:rPr>
              <w:t xml:space="preserve">  单位：无量纲</w:t>
            </w:r>
          </w:p>
          <w:tbl>
            <w:tblPr>
              <w:tblStyle w:val="11"/>
              <w:tblW w:w="8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4"/>
              <w:gridCol w:w="2803"/>
              <w:gridCol w:w="3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5" w:hRule="atLeast"/>
              </w:trPr>
              <w:tc>
                <w:tcPr>
                  <w:tcW w:w="2464" w:type="dxa"/>
                  <w:tcBorders>
                    <w:top w:val="single" w:color="auto" w:sz="12" w:space="0"/>
                    <w:left w:val="nil"/>
                  </w:tcBorders>
                  <w:vAlign w:val="center"/>
                </w:tcPr>
                <w:p>
                  <w:pPr>
                    <w:jc w:val="center"/>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rPr>
                    <w:t>采样地点</w:t>
                  </w:r>
                </w:p>
              </w:tc>
              <w:tc>
                <w:tcPr>
                  <w:tcW w:w="2803" w:type="dxa"/>
                  <w:tcBorders>
                    <w:top w:val="single" w:color="auto" w:sz="12" w:space="0"/>
                  </w:tcBorders>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rPr>
                    <w:t>采样时间</w:t>
                  </w:r>
                </w:p>
              </w:tc>
              <w:tc>
                <w:tcPr>
                  <w:tcW w:w="3039" w:type="dxa"/>
                  <w:tcBorders>
                    <w:top w:val="single" w:color="auto" w:sz="12" w:space="0"/>
                    <w:right w:val="nil"/>
                  </w:tcBorders>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rPr>
                    <w:t>臭气浓度检测结果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 w:hRule="atLeast"/>
              </w:trPr>
              <w:tc>
                <w:tcPr>
                  <w:tcW w:w="2464" w:type="dxa"/>
                  <w:vMerge w:val="restart"/>
                  <w:tcBorders>
                    <w:left w:val="nil"/>
                  </w:tcBorders>
                  <w:vAlign w:val="center"/>
                </w:tcPr>
                <w:p>
                  <w:pPr>
                    <w:spacing w:line="240" w:lineRule="exact"/>
                    <w:jc w:val="center"/>
                    <w:rPr>
                      <w:rFonts w:ascii="宋体" w:hAnsi="宋体"/>
                      <w:color w:val="auto"/>
                      <w:highlight w:val="none"/>
                    </w:rPr>
                  </w:pPr>
                  <w:r>
                    <w:rPr>
                      <w:rFonts w:hint="eastAsia" w:ascii="宋体" w:hAnsi="宋体"/>
                      <w:color w:val="auto"/>
                      <w:highlight w:val="none"/>
                      <w:lang w:val="en-US" w:eastAsia="zh-CN"/>
                    </w:rPr>
                    <w:t>1</w:t>
                  </w:r>
                  <w:r>
                    <w:rPr>
                      <w:rFonts w:hint="eastAsia" w:ascii="宋体" w:hAnsi="宋体"/>
                      <w:color w:val="auto"/>
                      <w:highlight w:val="none"/>
                    </w:rPr>
                    <w:t>◎</w:t>
                  </w:r>
                </w:p>
                <w:p>
                  <w:pPr>
                    <w:jc w:val="center"/>
                    <w:rPr>
                      <w:rFonts w:hint="default" w:ascii="Times New Roman" w:hAnsi="Times New Roman" w:eastAsia="宋体" w:cs="Times New Roman"/>
                      <w:b w:val="0"/>
                      <w:bCs w:val="0"/>
                      <w:color w:val="auto"/>
                      <w:highlight w:val="none"/>
                    </w:rPr>
                  </w:pPr>
                  <w:r>
                    <w:rPr>
                      <w:rFonts w:hint="eastAsia" w:ascii="宋体" w:hAnsi="宋体"/>
                      <w:color w:val="auto"/>
                      <w:highlight w:val="none"/>
                    </w:rPr>
                    <w:t>预处理间除臭设备处理前</w:t>
                  </w: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2018.10.17</w:t>
                  </w:r>
                </w:p>
              </w:tc>
              <w:tc>
                <w:tcPr>
                  <w:tcW w:w="3039" w:type="dxa"/>
                  <w:tcBorders>
                    <w:right w:val="nil"/>
                  </w:tcBorders>
                  <w:vAlign w:val="top"/>
                </w:tcPr>
                <w:p>
                  <w:pPr>
                    <w:widowControl/>
                    <w:adjustRightInd w:val="0"/>
                    <w:snapToGrid w:val="0"/>
                    <w:spacing w:line="320" w:lineRule="exact"/>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center"/>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2018.10.18</w:t>
                  </w: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9" w:hRule="atLeast"/>
              </w:trPr>
              <w:tc>
                <w:tcPr>
                  <w:tcW w:w="2464" w:type="dxa"/>
                  <w:vMerge w:val="restart"/>
                  <w:tcBorders>
                    <w:left w:val="nil"/>
                  </w:tcBorders>
                  <w:vAlign w:val="center"/>
                </w:tcPr>
                <w:p>
                  <w:pPr>
                    <w:spacing w:line="240" w:lineRule="exact"/>
                    <w:jc w:val="center"/>
                    <w:rPr>
                      <w:rFonts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w:t>
                  </w:r>
                </w:p>
                <w:p>
                  <w:pPr>
                    <w:spacing w:line="240" w:lineRule="exact"/>
                    <w:jc w:val="center"/>
                    <w:rPr>
                      <w:rFonts w:ascii="宋体" w:hAnsi="宋体"/>
                      <w:color w:val="auto"/>
                      <w:highlight w:val="none"/>
                    </w:rPr>
                  </w:pPr>
                  <w:r>
                    <w:rPr>
                      <w:rFonts w:hint="eastAsia" w:ascii="宋体" w:hAnsi="宋体"/>
                      <w:color w:val="auto"/>
                      <w:highlight w:val="none"/>
                    </w:rPr>
                    <w:t>预处理间</w:t>
                  </w:r>
                </w:p>
                <w:p>
                  <w:pPr>
                    <w:jc w:val="center"/>
                    <w:rPr>
                      <w:rFonts w:hint="default" w:ascii="Times New Roman" w:hAnsi="Times New Roman" w:eastAsia="宋体" w:cs="Times New Roman"/>
                      <w:b w:val="0"/>
                      <w:bCs w:val="0"/>
                      <w:color w:val="auto"/>
                      <w:highlight w:val="none"/>
                    </w:rPr>
                  </w:pPr>
                  <w:r>
                    <w:rPr>
                      <w:rFonts w:hint="eastAsia" w:ascii="宋体" w:hAnsi="宋体"/>
                      <w:color w:val="auto"/>
                      <w:highlight w:val="none"/>
                    </w:rPr>
                    <w:t>除臭设备处理后</w:t>
                  </w: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2018.10.17</w:t>
                  </w:r>
                </w:p>
              </w:tc>
              <w:tc>
                <w:tcPr>
                  <w:tcW w:w="3039" w:type="dxa"/>
                  <w:tcBorders>
                    <w:right w:val="nil"/>
                  </w:tcBorders>
                  <w:vAlign w:val="top"/>
                </w:tcPr>
                <w:p>
                  <w:pPr>
                    <w:widowControl/>
                    <w:adjustRightInd w:val="0"/>
                    <w:snapToGrid w:val="0"/>
                    <w:spacing w:line="320" w:lineRule="exact"/>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2018.10.18</w:t>
                  </w: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2"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highlight w:val="none"/>
                    </w:rPr>
                  </w:pPr>
                  <w:r>
                    <w:rPr>
                      <w:rFonts w:hint="eastAsia" w:ascii="宋体" w:hAnsi="宋体" w:cs="宋体"/>
                      <w:color w:val="auto"/>
                      <w:kern w:val="0"/>
                      <w:highlight w:val="none"/>
                    </w:rPr>
                    <w:t>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restart"/>
                  <w:tcBorders>
                    <w:left w:val="nil"/>
                  </w:tcBorders>
                  <w:vAlign w:val="center"/>
                </w:tcPr>
                <w:p>
                  <w:pPr>
                    <w:spacing w:line="240" w:lineRule="exact"/>
                    <w:jc w:val="center"/>
                    <w:rPr>
                      <w:rFonts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w:t>
                  </w:r>
                </w:p>
                <w:p>
                  <w:pPr>
                    <w:jc w:val="center"/>
                    <w:rPr>
                      <w:rFonts w:hint="default" w:ascii="Times New Roman" w:hAnsi="Times New Roman" w:eastAsia="宋体" w:cs="Times New Roman"/>
                      <w:b w:val="0"/>
                      <w:bCs w:val="0"/>
                      <w:color w:val="auto"/>
                      <w:highlight w:val="none"/>
                    </w:rPr>
                  </w:pPr>
                  <w:r>
                    <w:rPr>
                      <w:rFonts w:hint="eastAsia" w:ascii="宋体" w:hAnsi="宋体"/>
                      <w:color w:val="auto"/>
                      <w:highlight w:val="none"/>
                    </w:rPr>
                    <w:t>CASS反应池除臭设备处理前</w:t>
                  </w: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2018.10.17</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center"/>
                </w:tcPr>
                <w:p>
                  <w:pPr>
                    <w:jc w:val="center"/>
                    <w:rPr>
                      <w:rFonts w:hint="default" w:ascii="Times New Roman" w:hAnsi="Times New Roman" w:eastAsia="宋体" w:cs="Times New Roman"/>
                      <w:b w:val="0"/>
                      <w:bCs w:val="0"/>
                      <w:color w:val="auto"/>
                      <w:highlight w:val="none"/>
                    </w:rPr>
                  </w:pP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cs="宋体" w:asciiTheme="minorEastAsia" w:hAnsiTheme="minorEastAsia" w:eastAsiaTheme="minorEastAsia"/>
                      <w:color w:val="auto"/>
                      <w:highlight w:val="none"/>
                    </w:rPr>
                    <w:t>2018.10.18</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restart"/>
                  <w:tcBorders>
                    <w:left w:val="nil"/>
                  </w:tcBorders>
                  <w:vAlign w:val="center"/>
                </w:tcPr>
                <w:p>
                  <w:pPr>
                    <w:spacing w:line="240" w:lineRule="exact"/>
                    <w:jc w:val="center"/>
                    <w:rPr>
                      <w:rFonts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rPr>
                    <w:t>◎</w:t>
                  </w:r>
                </w:p>
                <w:p>
                  <w:pPr>
                    <w:jc w:val="center"/>
                    <w:rPr>
                      <w:rFonts w:hint="default" w:ascii="Times New Roman" w:hAnsi="Times New Roman" w:eastAsia="宋体" w:cs="Times New Roman"/>
                      <w:b w:val="0"/>
                      <w:bCs w:val="0"/>
                      <w:color w:val="auto"/>
                      <w:highlight w:val="none"/>
                    </w:rPr>
                  </w:pPr>
                  <w:r>
                    <w:rPr>
                      <w:rFonts w:hint="eastAsia" w:ascii="宋体" w:hAnsi="宋体"/>
                      <w:color w:val="auto"/>
                      <w:highlight w:val="none"/>
                    </w:rPr>
                    <w:t>污泥脱水间除臭设备处理前</w:t>
                  </w: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ascii="宋体" w:hAnsi="宋体" w:cs="宋体"/>
                      <w:color w:val="auto"/>
                      <w:highlight w:val="none"/>
                    </w:rPr>
                    <w:t>2018.10.17</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ascii="宋体" w:hAnsi="宋体" w:cs="宋体"/>
                      <w:color w:val="auto"/>
                      <w:highlight w:val="none"/>
                    </w:rPr>
                    <w:t>2018.10.18</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restart"/>
                  <w:tcBorders>
                    <w:left w:val="nil"/>
                  </w:tcBorders>
                  <w:vAlign w:val="center"/>
                </w:tcPr>
                <w:p>
                  <w:pPr>
                    <w:spacing w:line="240" w:lineRule="exact"/>
                    <w:jc w:val="center"/>
                    <w:rPr>
                      <w:rFonts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w:t>
                  </w:r>
                </w:p>
                <w:p>
                  <w:pPr>
                    <w:jc w:val="center"/>
                    <w:rPr>
                      <w:rFonts w:hint="default" w:ascii="Times New Roman" w:hAnsi="Times New Roman" w:eastAsia="宋体" w:cs="Times New Roman"/>
                      <w:b w:val="0"/>
                      <w:bCs w:val="0"/>
                      <w:color w:val="auto"/>
                      <w:highlight w:val="none"/>
                    </w:rPr>
                  </w:pPr>
                  <w:r>
                    <w:rPr>
                      <w:rFonts w:hint="eastAsia" w:ascii="宋体" w:hAnsi="宋体"/>
                      <w:color w:val="auto"/>
                      <w:highlight w:val="none"/>
                    </w:rPr>
                    <w:t>CASS反应池及污泥脱水间除臭设备处理后</w:t>
                  </w: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ascii="宋体" w:hAnsi="宋体" w:cs="宋体"/>
                      <w:color w:val="auto"/>
                      <w:highlight w:val="none"/>
                    </w:rPr>
                    <w:t>2018.10.17</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restart"/>
                  <w:vAlign w:val="center"/>
                </w:tcPr>
                <w:p>
                  <w:pPr>
                    <w:adjustRightInd w:val="0"/>
                    <w:snapToGrid w:val="0"/>
                    <w:jc w:val="center"/>
                    <w:rPr>
                      <w:rFonts w:hint="default" w:ascii="Times New Roman" w:hAnsi="Times New Roman" w:eastAsia="宋体" w:cs="Times New Roman"/>
                      <w:b w:val="0"/>
                      <w:bCs w:val="0"/>
                      <w:color w:val="auto"/>
                      <w:highlight w:val="none"/>
                    </w:rPr>
                  </w:pPr>
                  <w:r>
                    <w:rPr>
                      <w:rFonts w:hint="eastAsia" w:ascii="宋体" w:hAnsi="宋体" w:cs="宋体"/>
                      <w:color w:val="auto"/>
                      <w:highlight w:val="none"/>
                    </w:rPr>
                    <w:t>2018.10.18</w:t>
                  </w: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vAlign w:val="center"/>
                </w:tcPr>
                <w:p>
                  <w:pPr>
                    <w:jc w:val="center"/>
                    <w:rPr>
                      <w:rFonts w:hint="default" w:ascii="Times New Roman" w:hAnsi="Times New Roman" w:eastAsia="宋体" w:cs="Times New Roman"/>
                      <w:b w:val="0"/>
                      <w:bCs w:val="0"/>
                      <w:color w:val="auto"/>
                      <w:highlight w:val="none"/>
                    </w:rPr>
                  </w:pPr>
                </w:p>
              </w:tc>
              <w:tc>
                <w:tcPr>
                  <w:tcW w:w="3039" w:type="dxa"/>
                  <w:tcBorders>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8" w:hRule="atLeast"/>
              </w:trPr>
              <w:tc>
                <w:tcPr>
                  <w:tcW w:w="2464" w:type="dxa"/>
                  <w:vMerge w:val="continue"/>
                  <w:tcBorders>
                    <w:left w:val="nil"/>
                    <w:bottom w:val="single" w:color="auto" w:sz="12" w:space="0"/>
                  </w:tcBorders>
                  <w:vAlign w:val="top"/>
                </w:tcPr>
                <w:p>
                  <w:pPr>
                    <w:jc w:val="center"/>
                    <w:rPr>
                      <w:rFonts w:hint="default" w:ascii="Times New Roman" w:hAnsi="Times New Roman" w:eastAsia="宋体" w:cs="Times New Roman"/>
                      <w:b w:val="0"/>
                      <w:bCs w:val="0"/>
                      <w:color w:val="auto"/>
                      <w:highlight w:val="none"/>
                    </w:rPr>
                  </w:pPr>
                </w:p>
              </w:tc>
              <w:tc>
                <w:tcPr>
                  <w:tcW w:w="2803" w:type="dxa"/>
                  <w:vMerge w:val="continue"/>
                  <w:tcBorders>
                    <w:bottom w:val="single" w:color="auto" w:sz="12" w:space="0"/>
                  </w:tcBorders>
                  <w:vAlign w:val="center"/>
                </w:tcPr>
                <w:p>
                  <w:pPr>
                    <w:jc w:val="center"/>
                    <w:rPr>
                      <w:rFonts w:hint="default" w:ascii="Times New Roman" w:hAnsi="Times New Roman" w:eastAsia="宋体" w:cs="Times New Roman"/>
                      <w:b w:val="0"/>
                      <w:bCs w:val="0"/>
                      <w:color w:val="auto"/>
                      <w:highlight w:val="none"/>
                    </w:rPr>
                  </w:pPr>
                </w:p>
              </w:tc>
              <w:tc>
                <w:tcPr>
                  <w:tcW w:w="3039" w:type="dxa"/>
                  <w:tcBorders>
                    <w:bottom w:val="single" w:color="auto" w:sz="12" w:space="0"/>
                    <w:right w:val="nil"/>
                  </w:tcBorders>
                  <w:vAlign w:val="center"/>
                </w:tcPr>
                <w:p>
                  <w:pPr>
                    <w:jc w:val="center"/>
                    <w:rPr>
                      <w:rFonts w:hint="default" w:ascii="Times New Roman" w:hAnsi="Times New Roman" w:eastAsia="宋体" w:cs="Times New Roman"/>
                      <w:b w:val="0"/>
                      <w:bCs w:val="0"/>
                      <w:color w:val="auto"/>
                      <w:kern w:val="0"/>
                      <w:highlight w:val="none"/>
                    </w:rPr>
                  </w:pPr>
                  <w:r>
                    <w:rPr>
                      <w:rFonts w:hint="eastAsia" w:ascii="宋体" w:hAnsi="宋体" w:cs="宋体"/>
                      <w:color w:val="auto"/>
                      <w:kern w:val="0"/>
                      <w:highlight w:val="none"/>
                    </w:rPr>
                    <w:t>232</w:t>
                  </w:r>
                </w:p>
              </w:tc>
            </w:tr>
          </w:tbl>
          <w:p>
            <w:pPr>
              <w:widowControl w:val="0"/>
              <w:wordWrap/>
              <w:adjustRightInd/>
              <w:snapToGrid/>
              <w:spacing w:line="360" w:lineRule="auto"/>
              <w:ind w:firstLine="480" w:firstLineChars="200"/>
              <w:textAlignment w:val="auto"/>
              <w:outlineLvl w:val="9"/>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zh-TW" w:eastAsia="zh-CN"/>
              </w:rPr>
              <w:t>验收监测期间，</w:t>
            </w:r>
            <w:r>
              <w:rPr>
                <w:rFonts w:hint="eastAsia" w:cs="Times New Roman"/>
                <w:color w:val="auto"/>
                <w:sz w:val="24"/>
                <w:szCs w:val="24"/>
                <w:highlight w:val="none"/>
                <w:lang w:val="zh-TW" w:eastAsia="zh-CN"/>
              </w:rPr>
              <w:t>二道河农场污水处理站光催化氧化+活性炭</w:t>
            </w:r>
            <w:r>
              <w:rPr>
                <w:rFonts w:hint="default" w:ascii="Times New Roman" w:hAnsi="Times New Roman" w:cs="Times New Roman"/>
                <w:color w:val="auto"/>
                <w:sz w:val="24"/>
                <w:szCs w:val="24"/>
                <w:highlight w:val="none"/>
                <w:lang w:val="zh-TW" w:eastAsia="zh-CN"/>
              </w:rPr>
              <w:t>置前、后</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zh-TW" w:eastAsia="zh-CN"/>
              </w:rPr>
              <w:t>排放速率均满足</w:t>
            </w:r>
            <w:r>
              <w:rPr>
                <w:rFonts w:hint="default" w:ascii="Times New Roman" w:hAnsi="Times New Roman" w:cs="Times New Roman"/>
                <w:color w:val="auto"/>
                <w:sz w:val="24"/>
                <w:szCs w:val="24"/>
                <w:highlight w:val="none"/>
                <w:lang w:eastAsia="zh-CN"/>
              </w:rPr>
              <w:t>《恶臭污染物排放标准》（GB14554-93）</w:t>
            </w:r>
            <w:r>
              <w:rPr>
                <w:rFonts w:hint="eastAsia" w:cs="Times New Roman"/>
                <w:color w:val="auto"/>
                <w:sz w:val="24"/>
                <w:szCs w:val="24"/>
                <w:highlight w:val="none"/>
                <w:lang w:eastAsia="zh-CN"/>
              </w:rPr>
              <w:t>15m</w:t>
            </w:r>
            <w:r>
              <w:rPr>
                <w:rFonts w:hint="default" w:ascii="Times New Roman" w:hAnsi="Times New Roman" w:cs="Times New Roman"/>
                <w:color w:val="auto"/>
                <w:sz w:val="24"/>
                <w:szCs w:val="24"/>
                <w:highlight w:val="none"/>
                <w:lang w:eastAsia="zh-CN"/>
              </w:rPr>
              <w:t>高排气筒中二级排放速率限值</w:t>
            </w:r>
            <w:r>
              <w:rPr>
                <w:rFonts w:hint="default" w:ascii="Times New Roman" w:hAnsi="Times New Roman" w:cs="Times New Roman"/>
                <w:color w:val="auto"/>
                <w:sz w:val="24"/>
                <w:szCs w:val="24"/>
                <w:highlight w:val="none"/>
                <w:lang w:val="zh-TW" w:eastAsia="zh-CN"/>
              </w:rPr>
              <w:t>（</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4.9</w:t>
            </w:r>
            <w:r>
              <w:rPr>
                <w:rFonts w:hint="default" w:ascii="Times New Roman" w:hAnsi="Times New Roman" w:cs="Times New Roman"/>
                <w:color w:val="auto"/>
                <w:sz w:val="24"/>
                <w:szCs w:val="24"/>
                <w:highlight w:val="none"/>
                <w:lang w:val="en-US" w:eastAsia="zh-CN"/>
              </w:rPr>
              <w:t>kg/h、</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0.33</w:t>
            </w:r>
            <w:r>
              <w:rPr>
                <w:rFonts w:hint="default" w:ascii="Times New Roman" w:hAnsi="Times New Roman" w:cs="Times New Roman"/>
                <w:color w:val="auto"/>
                <w:sz w:val="24"/>
                <w:szCs w:val="24"/>
                <w:highlight w:val="none"/>
                <w:lang w:val="en-US" w:eastAsia="zh-CN"/>
              </w:rPr>
              <w:t>kg/h</w:t>
            </w:r>
            <w:r>
              <w:rPr>
                <w:rFonts w:hint="eastAsia" w:cs="Times New Roman"/>
                <w:color w:val="auto"/>
                <w:sz w:val="24"/>
                <w:szCs w:val="24"/>
                <w:highlight w:val="none"/>
                <w:lang w:val="en-US" w:eastAsia="zh-CN"/>
              </w:rPr>
              <w:t>、臭气浓度：2000无量纲</w:t>
            </w:r>
            <w:r>
              <w:rPr>
                <w:rFonts w:hint="default" w:ascii="Times New Roman" w:hAnsi="Times New Roman" w:cs="Times New Roman"/>
                <w:color w:val="auto"/>
                <w:sz w:val="24"/>
                <w:szCs w:val="24"/>
                <w:highlight w:val="none"/>
                <w:lang w:val="zh-TW" w:eastAsia="zh-CN"/>
              </w:rPr>
              <w:t>）。</w:t>
            </w:r>
          </w:p>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zh-TW" w:eastAsia="zh-CN"/>
              </w:rPr>
            </w:pPr>
            <w:r>
              <w:rPr>
                <w:rFonts w:hint="eastAsia" w:cs="Times New Roman"/>
                <w:color w:val="auto"/>
                <w:sz w:val="24"/>
                <w:szCs w:val="24"/>
                <w:highlight w:val="none"/>
                <w:lang w:val="en-US" w:eastAsia="zh-CN"/>
              </w:rPr>
              <w:t>②</w:t>
            </w:r>
            <w:r>
              <w:rPr>
                <w:rFonts w:hint="default" w:ascii="Times New Roman" w:hAnsi="Times New Roman" w:cs="Times New Roman"/>
                <w:color w:val="auto"/>
                <w:sz w:val="24"/>
                <w:szCs w:val="24"/>
                <w:highlight w:val="none"/>
                <w:lang w:val="zh-TW" w:eastAsia="zh-CN"/>
              </w:rPr>
              <w:t>无组织废气验收监测结果及评价</w:t>
            </w:r>
          </w:p>
          <w:p>
            <w:pPr>
              <w:spacing w:line="360" w:lineRule="auto"/>
              <w:ind w:firstLine="480" w:firstLineChars="200"/>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cs="Times New Roman"/>
                <w:color w:val="auto"/>
                <w:sz w:val="24"/>
                <w:szCs w:val="24"/>
                <w:highlight w:val="none"/>
                <w:lang w:val="zh-TW" w:eastAsia="zh-CN"/>
              </w:rPr>
              <w:t>监测结果见表7-</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zh-TW"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3</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无组织废气检测结果</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单位：mg/m</w:t>
            </w:r>
            <w:r>
              <w:rPr>
                <w:rFonts w:hint="default" w:ascii="Times New Roman" w:hAnsi="Times New Roman" w:eastAsia="黑体" w:cs="Times New Roman"/>
                <w:b w:val="0"/>
                <w:bCs/>
                <w:color w:val="auto"/>
                <w:kern w:val="0"/>
                <w:sz w:val="21"/>
                <w:szCs w:val="21"/>
                <w:highlight w:val="none"/>
                <w:vertAlign w:val="superscript"/>
                <w:lang w:eastAsia="zh-CN"/>
              </w:rPr>
              <w:t>3</w:t>
            </w:r>
          </w:p>
          <w:tbl>
            <w:tblPr>
              <w:tblStyle w:val="11"/>
              <w:tblW w:w="8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925"/>
              <w:gridCol w:w="1936"/>
              <w:gridCol w:w="1120"/>
              <w:gridCol w:w="1220"/>
              <w:gridCol w:w="1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3" w:hRule="atLeast"/>
                <w:tblHeader/>
              </w:trPr>
              <w:tc>
                <w:tcPr>
                  <w:tcW w:w="1447" w:type="dxa"/>
                  <w:vMerge w:val="restart"/>
                  <w:tcBorders>
                    <w:top w:val="single" w:color="auto" w:sz="12" w:space="0"/>
                    <w:left w:val="nil"/>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采样地点</w:t>
                  </w:r>
                </w:p>
              </w:tc>
              <w:tc>
                <w:tcPr>
                  <w:tcW w:w="2861" w:type="dxa"/>
                  <w:gridSpan w:val="2"/>
                  <w:tcBorders>
                    <w:top w:val="single" w:color="auto" w:sz="12" w:space="0"/>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采样时间</w:t>
                  </w:r>
                </w:p>
              </w:tc>
              <w:tc>
                <w:tcPr>
                  <w:tcW w:w="3998" w:type="dxa"/>
                  <w:gridSpan w:val="3"/>
                  <w:tcBorders>
                    <w:top w:val="single" w:color="auto" w:sz="12" w:space="0"/>
                    <w:right w:val="nil"/>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检测项目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3" w:hRule="atLeast"/>
                <w:tblHeader/>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2861" w:type="dxa"/>
                  <w:gridSpan w:val="2"/>
                  <w:tcBorders>
                    <w:bottom w:val="single" w:color="auto" w:sz="4" w:space="0"/>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2018年10月</w:t>
                  </w:r>
                </w:p>
              </w:tc>
              <w:tc>
                <w:tcPr>
                  <w:tcW w:w="1120" w:type="dxa"/>
                  <w:tcBorders>
                    <w:bottom w:val="single" w:color="auto" w:sz="4" w:space="0"/>
                  </w:tcBorders>
                  <w:vAlign w:val="center"/>
                </w:tcPr>
                <w:p>
                  <w:pPr>
                    <w:pStyle w:val="22"/>
                    <w:spacing w:line="240" w:lineRule="auto"/>
                    <w:ind w:left="-105" w:leftChars="-50" w:right="-105" w:rightChars="-50"/>
                    <w:jc w:val="center"/>
                    <w:rPr>
                      <w:rFonts w:hint="default" w:ascii="Times New Roman" w:hAnsi="Times New Roman" w:eastAsia="宋体" w:cs="Times New Roman"/>
                      <w:b w:val="0"/>
                      <w:bCs/>
                      <w:i w:val="0"/>
                      <w:color w:val="auto"/>
                      <w:sz w:val="21"/>
                      <w:szCs w:val="21"/>
                      <w:highlight w:val="none"/>
                    </w:rPr>
                  </w:pPr>
                  <w:r>
                    <w:rPr>
                      <w:rFonts w:hint="default" w:ascii="Times New Roman" w:hAnsi="Times New Roman" w:eastAsia="宋体" w:cs="Times New Roman"/>
                      <w:b w:val="0"/>
                      <w:bCs/>
                      <w:i w:val="0"/>
                      <w:color w:val="auto"/>
                      <w:sz w:val="21"/>
                      <w:szCs w:val="21"/>
                      <w:highlight w:val="none"/>
                    </w:rPr>
                    <w:t>氨</w:t>
                  </w:r>
                </w:p>
              </w:tc>
              <w:tc>
                <w:tcPr>
                  <w:tcW w:w="1220" w:type="dxa"/>
                  <w:tcBorders>
                    <w:bottom w:val="single" w:color="auto" w:sz="4" w:space="0"/>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硫化氢</w:t>
                  </w:r>
                </w:p>
              </w:tc>
              <w:tc>
                <w:tcPr>
                  <w:tcW w:w="1658" w:type="dxa"/>
                  <w:tcBorders>
                    <w:bottom w:val="single" w:color="auto" w:sz="4" w:space="0"/>
                    <w:right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臭气浓度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1447" w:type="dxa"/>
                  <w:vMerge w:val="restart"/>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○厂界上风向</w:t>
                  </w: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08:00-09:00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14:00-15:00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17:00-18:00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08:00-09:00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14:00-15:00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17:00-18:00</w:t>
                  </w:r>
                </w:p>
              </w:tc>
              <w:tc>
                <w:tcPr>
                  <w:tcW w:w="11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0.01L</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restart"/>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○厂界下风向（A）</w:t>
                  </w: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08:00-09:00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0.14</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14:00-15:00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6"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17:00-18:00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0.10</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08:00-09:00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14:00-15:00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17:00-18:00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restart"/>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○厂界下风向（B）</w:t>
                  </w: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08:00-09:00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0.10</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14:00-15:00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17:00-18:00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08:00-09:00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14:00-15:00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17:00-18:00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restart"/>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○厂界下风向（C）</w:t>
                  </w: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09:30-10:30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0.10</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snapToGrid w:val="0"/>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15:30-16:30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snapToGrid w:val="0"/>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18:30-19:30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snapToGrid w:val="0"/>
                      <w:color w:val="auto"/>
                      <w:sz w:val="21"/>
                      <w:szCs w:val="21"/>
                      <w:highlight w:val="none"/>
                    </w:rPr>
                  </w:pPr>
                </w:p>
              </w:tc>
              <w:tc>
                <w:tcPr>
                  <w:tcW w:w="925" w:type="dxa"/>
                  <w:vMerge w:val="restart"/>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18日</w:t>
                  </w: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09:30-10:30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0.11</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15:30-16:30</w:t>
                  </w:r>
                </w:p>
              </w:tc>
              <w:tc>
                <w:tcPr>
                  <w:tcW w:w="1120" w:type="dxa"/>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0.10</w:t>
                  </w:r>
                </w:p>
              </w:tc>
              <w:tc>
                <w:tcPr>
                  <w:tcW w:w="1220" w:type="dxa"/>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right w:val="nil"/>
                  </w:tcBorders>
                  <w:vAlign w:val="center"/>
                </w:tcPr>
                <w:p>
                  <w:pPr>
                    <w:adjustRightIn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447" w:type="dxa"/>
                  <w:vMerge w:val="continue"/>
                  <w:tcBorders>
                    <w:left w:val="nil"/>
                    <w:bottom w:val="single" w:color="auto" w:sz="12" w:space="0"/>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925" w:type="dxa"/>
                  <w:vMerge w:val="continue"/>
                  <w:tcBorders>
                    <w:bottom w:val="single" w:color="auto" w:sz="12" w:space="0"/>
                  </w:tcBorders>
                  <w:vAlign w:val="center"/>
                </w:tcPr>
                <w:p>
                  <w:pPr>
                    <w:spacing w:line="240" w:lineRule="auto"/>
                    <w:ind w:left="-105" w:leftChars="-50" w:right="-105" w:rightChars="-50"/>
                    <w:jc w:val="center"/>
                    <w:rPr>
                      <w:rFonts w:hint="default" w:ascii="Times New Roman" w:hAnsi="Times New Roman" w:eastAsia="宋体" w:cs="Times New Roman"/>
                      <w:color w:val="auto"/>
                      <w:sz w:val="21"/>
                      <w:szCs w:val="21"/>
                      <w:highlight w:val="none"/>
                    </w:rPr>
                  </w:pPr>
                </w:p>
              </w:tc>
              <w:tc>
                <w:tcPr>
                  <w:tcW w:w="1936" w:type="dxa"/>
                  <w:tcBorders>
                    <w:bottom w:val="single" w:color="auto" w:sz="12" w:space="0"/>
                  </w:tcBorders>
                  <w:vAlign w:val="center"/>
                </w:tcPr>
                <w:p>
                  <w:pPr>
                    <w:spacing w:line="240" w:lineRule="auto"/>
                    <w:ind w:left="-105" w:leftChars="-50" w:right="-105" w:rightChars="-50"/>
                    <w:jc w:val="center"/>
                    <w:outlineLvl w:val="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highlight w:val="none"/>
                    </w:rPr>
                    <w:t>18:30-19:30</w:t>
                  </w:r>
                </w:p>
              </w:tc>
              <w:tc>
                <w:tcPr>
                  <w:tcW w:w="1120" w:type="dxa"/>
                  <w:tcBorders>
                    <w:bottom w:val="single" w:color="auto" w:sz="12" w:space="0"/>
                  </w:tcBorders>
                  <w:vAlign w:val="center"/>
                </w:tcPr>
                <w:p>
                  <w:pPr>
                    <w:jc w:val="center"/>
                    <w:rPr>
                      <w:rFonts w:hint="default" w:ascii="Times New Roman" w:hAnsi="Times New Roman" w:eastAsia="宋体" w:cs="Times New Roman"/>
                      <w:color w:val="auto"/>
                      <w:sz w:val="21"/>
                      <w:szCs w:val="21"/>
                      <w:highlight w:val="none"/>
                    </w:rPr>
                  </w:pPr>
                  <w:r>
                    <w:rPr>
                      <w:rFonts w:hint="eastAsia" w:ascii="宋体" w:hAnsi="宋体"/>
                      <w:color w:val="auto"/>
                      <w:highlight w:val="none"/>
                    </w:rPr>
                    <w:t>0.12</w:t>
                  </w:r>
                </w:p>
              </w:tc>
              <w:tc>
                <w:tcPr>
                  <w:tcW w:w="1220" w:type="dxa"/>
                  <w:tcBorders>
                    <w:bottom w:val="single" w:color="auto" w:sz="12" w:space="0"/>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0.001L</w:t>
                  </w:r>
                </w:p>
              </w:tc>
              <w:tc>
                <w:tcPr>
                  <w:tcW w:w="1658" w:type="dxa"/>
                  <w:tcBorders>
                    <w:bottom w:val="single" w:color="auto" w:sz="12" w:space="0"/>
                    <w:right w:val="nil"/>
                  </w:tcBorders>
                  <w:vAlign w:val="center"/>
                </w:tcPr>
                <w:p>
                  <w:pPr>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r>
          </w:tbl>
          <w:p>
            <w:pPr>
              <w:widowControl w:val="0"/>
              <w:wordWrap/>
              <w:adjustRightInd/>
              <w:snapToGrid/>
              <w:spacing w:line="360" w:lineRule="auto"/>
              <w:ind w:firstLine="480" w:firstLineChars="200"/>
              <w:textAlignment w:val="auto"/>
              <w:outlineLvl w:val="9"/>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zh-TW" w:eastAsia="zh-CN"/>
              </w:rPr>
              <w:t>验收监测期间，本项目厂界上风向一个点、下风向</w:t>
            </w:r>
            <w:r>
              <w:rPr>
                <w:rFonts w:hint="default" w:ascii="Times New Roman" w:hAnsi="Times New Roman" w:cs="Times New Roman"/>
                <w:color w:val="auto"/>
                <w:sz w:val="24"/>
                <w:szCs w:val="24"/>
                <w:highlight w:val="none"/>
                <w:lang w:val="en-US" w:eastAsia="zh-CN"/>
              </w:rPr>
              <w:t>3个点</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en-US" w:eastAsia="zh-CN"/>
              </w:rPr>
              <w:t>监测结果均满足</w:t>
            </w:r>
            <w:r>
              <w:rPr>
                <w:rFonts w:hint="default" w:ascii="Times New Roman" w:hAnsi="Times New Roman" w:eastAsia="宋体" w:cs="Times New Roman"/>
                <w:color w:val="auto"/>
                <w:kern w:val="0"/>
                <w:sz w:val="24"/>
                <w:szCs w:val="22"/>
                <w:highlight w:val="none"/>
                <w:lang w:val="en-US" w:eastAsia="zh-CN" w:bidi="ar-SA"/>
              </w:rPr>
              <w:t>《恶臭污染物排放标准》（GB14554-93）中二级要求</w:t>
            </w:r>
            <w:r>
              <w:rPr>
                <w:rFonts w:hint="default" w:ascii="Times New Roman" w:hAnsi="Times New Roman" w:cs="Times New Roman"/>
                <w:color w:val="auto"/>
                <w:sz w:val="24"/>
                <w:szCs w:val="24"/>
                <w:highlight w:val="none"/>
                <w:lang w:val="zh-TW" w:eastAsia="zh-CN"/>
              </w:rPr>
              <w:t>周界外浓度最高点限值（</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zh-TW" w:eastAsia="zh-CN"/>
              </w:rPr>
              <w:t>：</w:t>
            </w:r>
            <w:r>
              <w:rPr>
                <w:rFonts w:hint="eastAsia" w:cs="Times New Roman"/>
                <w:color w:val="auto"/>
                <w:sz w:val="24"/>
                <w:szCs w:val="24"/>
                <w:highlight w:val="none"/>
                <w:lang w:val="en-US" w:eastAsia="zh-CN"/>
              </w:rPr>
              <w:t>1.5</w:t>
            </w:r>
            <w:r>
              <w:rPr>
                <w:rFonts w:hint="default" w:ascii="Times New Roman" w:hAnsi="Times New Roman" w:cs="Times New Roman"/>
                <w:color w:val="auto"/>
                <w:sz w:val="24"/>
                <w:szCs w:val="24"/>
                <w:highlight w:val="none"/>
                <w:lang w:val="en-US" w:eastAsia="zh-CN"/>
              </w:rPr>
              <w:t>mg/m</w:t>
            </w:r>
            <w:r>
              <w:rPr>
                <w:rFonts w:hint="default" w:ascii="Times New Roman" w:hAnsi="Times New Roman"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S：0.06</w:t>
            </w:r>
            <w:r>
              <w:rPr>
                <w:rFonts w:hint="default" w:ascii="Times New Roman" w:hAnsi="Times New Roman" w:cs="Times New Roman"/>
                <w:color w:val="auto"/>
                <w:sz w:val="24"/>
                <w:szCs w:val="24"/>
                <w:highlight w:val="none"/>
                <w:lang w:val="en-US" w:eastAsia="zh-CN"/>
              </w:rPr>
              <w:t>mg/m</w:t>
            </w:r>
            <w:r>
              <w:rPr>
                <w:rFonts w:hint="default" w:ascii="Times New Roman" w:hAnsi="Times New Roman"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、臭气浓度：20无量纲</w:t>
            </w:r>
            <w:r>
              <w:rPr>
                <w:rFonts w:hint="default" w:ascii="Times New Roman" w:hAnsi="Times New Roman" w:cs="Times New Roman"/>
                <w:color w:val="auto"/>
                <w:sz w:val="24"/>
                <w:szCs w:val="24"/>
                <w:highlight w:val="none"/>
                <w:lang w:val="zh-TW" w:eastAsia="zh-CN"/>
              </w:rPr>
              <w:t>）</w:t>
            </w:r>
            <w:r>
              <w:rPr>
                <w:rFonts w:hint="default" w:ascii="Times New Roman" w:hAnsi="Times New Roman" w:cs="Times New Roman"/>
                <w:color w:val="auto"/>
                <w:sz w:val="24"/>
                <w:szCs w:val="24"/>
                <w:highlight w:val="none"/>
                <w:lang w:val="en-US" w:eastAsia="zh-CN"/>
              </w:rPr>
              <w:t>。</w:t>
            </w:r>
          </w:p>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zh-TW" w:eastAsia="zh-CN"/>
              </w:rPr>
            </w:pPr>
            <w:r>
              <w:rPr>
                <w:rFonts w:hint="eastAsia" w:cs="Times New Roman"/>
                <w:color w:val="auto"/>
                <w:sz w:val="24"/>
                <w:szCs w:val="24"/>
                <w:highlight w:val="none"/>
                <w:lang w:val="en-US" w:eastAsia="zh-CN"/>
              </w:rPr>
              <w:t>③</w:t>
            </w:r>
            <w:r>
              <w:rPr>
                <w:rFonts w:hint="default" w:ascii="Times New Roman" w:hAnsi="Times New Roman" w:cs="Times New Roman"/>
                <w:color w:val="auto"/>
                <w:sz w:val="24"/>
                <w:szCs w:val="24"/>
                <w:highlight w:val="none"/>
                <w:lang w:val="zh-TW" w:eastAsia="zh-CN"/>
              </w:rPr>
              <w:t>废水验收监测结果及评价</w:t>
            </w:r>
          </w:p>
          <w:p>
            <w:pPr>
              <w:spacing w:line="360" w:lineRule="auto"/>
              <w:ind w:firstLine="480" w:firstLineChars="200"/>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cs="Times New Roman"/>
                <w:color w:val="auto"/>
                <w:sz w:val="24"/>
                <w:szCs w:val="24"/>
                <w:highlight w:val="none"/>
                <w:lang w:val="zh-TW" w:eastAsia="zh-CN"/>
              </w:rPr>
              <w:t>监测结果见表7-</w:t>
            </w:r>
            <w:r>
              <w:rPr>
                <w:rFonts w:hint="eastAsia" w:cs="Times New Roman"/>
                <w:color w:val="auto"/>
                <w:sz w:val="24"/>
                <w:szCs w:val="24"/>
                <w:highlight w:val="none"/>
                <w:lang w:val="en-US" w:eastAsia="zh-CN"/>
              </w:rPr>
              <w:t>4、7-5</w:t>
            </w:r>
            <w:r>
              <w:rPr>
                <w:rFonts w:hint="default" w:ascii="Times New Roman" w:hAnsi="Times New Roman" w:cs="Times New Roman"/>
                <w:color w:val="auto"/>
                <w:sz w:val="24"/>
                <w:szCs w:val="24"/>
                <w:highlight w:val="none"/>
                <w:lang w:val="zh-TW"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4</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eastAsia" w:eastAsia="黑体" w:cs="Times New Roman"/>
                <w:b w:val="0"/>
                <w:bCs/>
                <w:color w:val="auto"/>
                <w:kern w:val="0"/>
                <w:sz w:val="21"/>
                <w:szCs w:val="21"/>
                <w:highlight w:val="none"/>
                <w:lang w:eastAsia="zh-CN"/>
              </w:rPr>
              <w:t>污水处理厂进水口</w:t>
            </w:r>
            <w:r>
              <w:rPr>
                <w:rFonts w:hint="default" w:ascii="Times New Roman" w:hAnsi="Times New Roman" w:eastAsia="黑体" w:cs="Times New Roman"/>
                <w:b w:val="0"/>
                <w:bCs/>
                <w:color w:val="auto"/>
                <w:kern w:val="0"/>
                <w:sz w:val="21"/>
                <w:szCs w:val="21"/>
                <w:highlight w:val="none"/>
                <w:lang w:eastAsia="zh-CN"/>
              </w:rPr>
              <w:t>检测结果</w:t>
            </w:r>
          </w:p>
          <w:tbl>
            <w:tblPr>
              <w:tblStyle w:val="11"/>
              <w:tblW w:w="8296" w:type="dxa"/>
              <w:jc w:val="center"/>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
            <w:tblGrid>
              <w:gridCol w:w="1209"/>
              <w:gridCol w:w="1012"/>
              <w:gridCol w:w="1012"/>
              <w:gridCol w:w="1013"/>
              <w:gridCol w:w="1012"/>
              <w:gridCol w:w="1013"/>
              <w:gridCol w:w="1013"/>
              <w:gridCol w:w="101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3" w:hRule="atLeast"/>
                <w:tblHeader/>
                <w:jc w:val="center"/>
              </w:trPr>
              <w:tc>
                <w:tcPr>
                  <w:tcW w:w="1209" w:type="dxa"/>
                  <w:vMerge w:val="restart"/>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检测项目</w:t>
                  </w:r>
                </w:p>
              </w:tc>
              <w:tc>
                <w:tcPr>
                  <w:tcW w:w="6075" w:type="dxa"/>
                  <w:gridSpan w:val="6"/>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☆污水处理厂进水口</w:t>
                  </w:r>
                </w:p>
              </w:tc>
              <w:tc>
                <w:tcPr>
                  <w:tcW w:w="1012" w:type="dxa"/>
                  <w:vMerge w:val="restart"/>
                  <w:tcBorders>
                    <w:tl2br w:val="nil"/>
                    <w:tr2bl w:val="nil"/>
                  </w:tcBorders>
                  <w:vAlign w:val="center"/>
                </w:tcPr>
                <w:p>
                  <w:pPr>
                    <w:widowControl/>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rPr>
                    <w:t>单位</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3" w:hRule="atLeast"/>
                <w:tblHeader/>
                <w:jc w:val="center"/>
              </w:trPr>
              <w:tc>
                <w:tcPr>
                  <w:tcW w:w="1209" w:type="dxa"/>
                  <w:vMerge w:val="continue"/>
                  <w:tcBorders>
                    <w:tl2br w:val="nil"/>
                    <w:tr2bl w:val="nil"/>
                  </w:tcBorders>
                  <w:vAlign w:val="center"/>
                </w:tcPr>
                <w:p>
                  <w:pPr>
                    <w:jc w:val="center"/>
                    <w:rPr>
                      <w:rFonts w:hint="eastAsia" w:ascii="宋体" w:hAnsi="宋体" w:eastAsia="宋体" w:cs="宋体"/>
                      <w:b w:val="0"/>
                      <w:bCs/>
                      <w:i w:val="0"/>
                      <w:color w:val="auto"/>
                      <w:sz w:val="21"/>
                      <w:szCs w:val="21"/>
                      <w:highlight w:val="none"/>
                      <w:u w:val="none"/>
                    </w:rPr>
                  </w:pPr>
                </w:p>
              </w:tc>
              <w:tc>
                <w:tcPr>
                  <w:tcW w:w="3037" w:type="dxa"/>
                  <w:gridSpan w:val="3"/>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2018.10.17</w:t>
                  </w:r>
                </w:p>
              </w:tc>
              <w:tc>
                <w:tcPr>
                  <w:tcW w:w="3038" w:type="dxa"/>
                  <w:gridSpan w:val="3"/>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2018.10.18</w:t>
                  </w:r>
                </w:p>
              </w:tc>
              <w:tc>
                <w:tcPr>
                  <w:tcW w:w="1012" w:type="dxa"/>
                  <w:vMerge w:val="continue"/>
                  <w:tcBorders>
                    <w:tl2br w:val="nil"/>
                    <w:tr2bl w:val="nil"/>
                  </w:tcBorders>
                  <w:vAlign w:val="center"/>
                </w:tcPr>
                <w:p>
                  <w:pPr>
                    <w:jc w:val="center"/>
                    <w:rPr>
                      <w:rFonts w:hint="eastAsia" w:ascii="宋体" w:hAnsi="宋体" w:eastAsia="宋体" w:cs="宋体"/>
                      <w:i w:val="0"/>
                      <w:color w:val="auto"/>
                      <w:sz w:val="24"/>
                      <w:szCs w:val="24"/>
                      <w:highlight w:val="none"/>
                      <w:u w:val="none"/>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pH</w:t>
                  </w:r>
                  <w:r>
                    <w:rPr>
                      <w:rStyle w:val="23"/>
                      <w:b w:val="0"/>
                      <w:bCs/>
                      <w:color w:val="auto"/>
                      <w:highlight w:val="none"/>
                      <w:lang w:val="en-US" w:eastAsia="zh-CN"/>
                    </w:rPr>
                    <w:t>值</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7.40</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7.42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7.35</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7.37</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7.37</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7.36</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无量纲</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色度</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40</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40</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35</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35</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度</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动植物油</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0.30</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0.28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0.29</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0.26</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0.27</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0.30</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石油类</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0.03</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0.03</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0.02</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生化需氧量</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89.2</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cs="Times New Roman"/>
                      <w:color w:val="auto"/>
                      <w:kern w:val="0"/>
                      <w:szCs w:val="21"/>
                      <w:highlight w:val="none"/>
                    </w:rPr>
                    <w:t>93.2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98</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2</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103</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94.5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102</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化学需氧量</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282</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292</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295</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302</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284</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308</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氨氮</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24.5</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23.2</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24.7</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25.2</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23.4</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25.7</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总磷</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1.71</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1.73</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1.54</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1.57</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1.74</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1.78</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总氮</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28.6</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28.7</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29.</w:t>
                  </w:r>
                  <w:r>
                    <w:rPr>
                      <w:rFonts w:hint="eastAsia" w:ascii="宋体" w:hAnsi="宋体"/>
                      <w:color w:val="auto"/>
                      <w:kern w:val="0"/>
                      <w:szCs w:val="21"/>
                      <w:highlight w:val="none"/>
                      <w:lang w:val="en-US" w:eastAsia="zh-CN"/>
                    </w:rPr>
                    <w:t>2</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29.6</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27.4</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30.8</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90"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lang w:val="en-US"/>
                    </w:rPr>
                  </w:pPr>
                  <w:r>
                    <w:rPr>
                      <w:rFonts w:hint="default" w:ascii="Times New Roman" w:hAnsi="Times New Roman" w:cs="Times New Roman"/>
                      <w:i w:val="0"/>
                      <w:color w:val="auto"/>
                      <w:kern w:val="0"/>
                      <w:sz w:val="21"/>
                      <w:szCs w:val="21"/>
                      <w:highlight w:val="none"/>
                      <w:u w:val="none"/>
                      <w:lang w:val="en-US" w:eastAsia="zh-CN"/>
                    </w:rPr>
                    <w:t>LAS</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3.24</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3.26</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3.19</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3.21</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3.20</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3.23</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汞</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0.00004L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0.00004L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0.00004L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砷</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0.0003L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0.0003L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0.0003L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90" w:hRule="atLeast"/>
                <w:jc w:val="center"/>
              </w:trPr>
              <w:tc>
                <w:tcPr>
                  <w:tcW w:w="1209" w:type="dxa"/>
                  <w:vMerge w:val="restart"/>
                  <w:tcBorders>
                    <w:tl2br w:val="nil"/>
                    <w:tr2bl w:val="nil"/>
                  </w:tcBorders>
                  <w:vAlign w:val="center"/>
                </w:tcPr>
                <w:p>
                  <w:pPr>
                    <w:jc w:val="center"/>
                    <w:rPr>
                      <w:rFonts w:hint="eastAsia" w:ascii="宋体" w:hAnsi="宋体" w:eastAsia="宋体" w:cs="宋体"/>
                      <w:i w:val="0"/>
                      <w:color w:val="auto"/>
                      <w:sz w:val="21"/>
                      <w:szCs w:val="21"/>
                      <w:highlight w:val="none"/>
                      <w:u w:val="none"/>
                    </w:rPr>
                  </w:pPr>
                  <w:r>
                    <w:rPr>
                      <w:rFonts w:hint="eastAsia" w:ascii="宋体" w:hAnsi="宋体" w:cs="宋体"/>
                      <w:i w:val="0"/>
                      <w:color w:val="auto"/>
                      <w:kern w:val="0"/>
                      <w:sz w:val="21"/>
                      <w:szCs w:val="21"/>
                      <w:highlight w:val="none"/>
                      <w:u w:val="none"/>
                      <w:lang w:val="en-US" w:eastAsia="zh-CN"/>
                    </w:rPr>
                    <w:t>烷基汞</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甲基汞：10L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甲基汞：10L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甲基汞：10L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n</w:t>
                  </w:r>
                  <w:r>
                    <w:rPr>
                      <w:rStyle w:val="23"/>
                      <w:color w:val="auto"/>
                      <w:highlight w:val="none"/>
                      <w:lang w:val="en-US" w:eastAsia="zh-CN"/>
                    </w:rPr>
                    <w:t>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47" w:hRule="atLeast"/>
                <w:jc w:val="center"/>
              </w:trPr>
              <w:tc>
                <w:tcPr>
                  <w:tcW w:w="1209" w:type="dxa"/>
                  <w:vMerge w:val="continue"/>
                  <w:tcBorders>
                    <w:tl2br w:val="nil"/>
                    <w:tr2bl w:val="nil"/>
                  </w:tcBorders>
                  <w:vAlign w:val="center"/>
                </w:tcPr>
                <w:p>
                  <w:pPr>
                    <w:jc w:val="center"/>
                    <w:rPr>
                      <w:rFonts w:hint="eastAsia" w:ascii="宋体" w:hAnsi="宋体" w:eastAsia="宋体" w:cs="宋体"/>
                      <w:i w:val="0"/>
                      <w:color w:val="auto"/>
                      <w:sz w:val="21"/>
                      <w:szCs w:val="21"/>
                      <w:highlight w:val="none"/>
                      <w:u w:val="none"/>
                    </w:rPr>
                  </w:pP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乙基汞：20L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乙基汞：20L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乙基汞：20L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n</w:t>
                  </w:r>
                  <w:r>
                    <w:rPr>
                      <w:rStyle w:val="23"/>
                      <w:color w:val="auto"/>
                      <w:highlight w:val="none"/>
                      <w:lang w:val="en-US" w:eastAsia="zh-CN"/>
                    </w:rPr>
                    <w:t>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铅</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0.001L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0.001L</w:t>
                  </w:r>
                </w:p>
              </w:tc>
              <w:tc>
                <w:tcPr>
                  <w:tcW w:w="1012"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i w:val="0"/>
                      <w:color w:val="auto"/>
                      <w:sz w:val="21"/>
                      <w:szCs w:val="21"/>
                      <w:highlight w:val="none"/>
                      <w:u w:val="none"/>
                    </w:rPr>
                  </w:pPr>
                  <w:r>
                    <w:rPr>
                      <w:rFonts w:hint="eastAsia" w:ascii="宋体" w:hAnsi="宋体"/>
                      <w:color w:val="auto"/>
                      <w:kern w:val="0"/>
                      <w:szCs w:val="21"/>
                      <w:highlight w:val="none"/>
                    </w:rPr>
                    <w:t>0.001L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kern w:val="0"/>
                      <w:sz w:val="21"/>
                      <w:szCs w:val="21"/>
                      <w:highlight w:val="none"/>
                      <w:u w:val="none"/>
                      <w:lang w:val="en-US" w:eastAsia="zh-CN"/>
                    </w:rPr>
                    <w:t>镉</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0.0001L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0.0001L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0.0001L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铬</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0.03L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0.03L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0.03L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六价铬</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0.004L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0.004L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0.004L</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悬浮物</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50</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56</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53</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60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55</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58</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jc w:val="center"/>
              </w:trPr>
              <w:tc>
                <w:tcPr>
                  <w:tcW w:w="1209"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粪大肠菌群</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16000</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cs="Times New Roman"/>
                      <w:bCs/>
                      <w:color w:val="auto"/>
                      <w:szCs w:val="21"/>
                      <w:highlight w:val="none"/>
                    </w:rPr>
                    <w:t>24000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16000</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16000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16000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i w:val="0"/>
                      <w:color w:val="auto"/>
                      <w:sz w:val="21"/>
                      <w:szCs w:val="21"/>
                      <w:highlight w:val="none"/>
                      <w:u w:val="none"/>
                    </w:rPr>
                  </w:pPr>
                  <w:r>
                    <w:rPr>
                      <w:rFonts w:hint="eastAsia" w:ascii="宋体" w:hAnsi="宋体"/>
                      <w:bCs/>
                      <w:color w:val="auto"/>
                      <w:szCs w:val="21"/>
                      <w:highlight w:val="none"/>
                    </w:rPr>
                    <w:t>16000</w:t>
                  </w:r>
                </w:p>
              </w:tc>
              <w:tc>
                <w:tcPr>
                  <w:tcW w:w="1012" w:type="dxa"/>
                  <w:tcBorders>
                    <w:tl2br w:val="nil"/>
                    <w:tr2bl w:val="nil"/>
                  </w:tcBorders>
                  <w:vAlign w:val="center"/>
                </w:tcPr>
                <w:p>
                  <w:pPr>
                    <w:widowControl/>
                    <w:jc w:val="center"/>
                    <w:textAlignment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kern w:val="0"/>
                      <w:sz w:val="21"/>
                      <w:szCs w:val="21"/>
                      <w:highlight w:val="none"/>
                      <w:u w:val="none"/>
                      <w:lang w:val="en-US" w:eastAsia="zh-CN"/>
                    </w:rPr>
                    <w:t>个/L</w:t>
                  </w:r>
                </w:p>
              </w:tc>
            </w:tr>
          </w:tbl>
          <w:p>
            <w:pPr>
              <w:spacing w:line="360" w:lineRule="auto"/>
              <w:jc w:val="center"/>
              <w:outlineLvl w:val="2"/>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5</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eastAsia" w:eastAsia="黑体" w:cs="Times New Roman"/>
                <w:b w:val="0"/>
                <w:bCs/>
                <w:color w:val="auto"/>
                <w:kern w:val="0"/>
                <w:sz w:val="21"/>
                <w:szCs w:val="21"/>
                <w:highlight w:val="none"/>
                <w:lang w:eastAsia="zh-CN"/>
              </w:rPr>
              <w:t>污水处理厂出水口</w:t>
            </w:r>
            <w:r>
              <w:rPr>
                <w:rFonts w:hint="default" w:ascii="Times New Roman" w:hAnsi="Times New Roman" w:eastAsia="黑体" w:cs="Times New Roman"/>
                <w:b w:val="0"/>
                <w:bCs/>
                <w:color w:val="auto"/>
                <w:kern w:val="0"/>
                <w:sz w:val="21"/>
                <w:szCs w:val="21"/>
                <w:highlight w:val="none"/>
                <w:lang w:eastAsia="zh-CN"/>
              </w:rPr>
              <w:t>检测结果</w:t>
            </w:r>
          </w:p>
          <w:tbl>
            <w:tblPr>
              <w:tblStyle w:val="11"/>
              <w:tblW w:w="8296" w:type="dxa"/>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
            <w:tblGrid>
              <w:gridCol w:w="1209"/>
              <w:gridCol w:w="1012"/>
              <w:gridCol w:w="1012"/>
              <w:gridCol w:w="1013"/>
              <w:gridCol w:w="1012"/>
              <w:gridCol w:w="1013"/>
              <w:gridCol w:w="1013"/>
              <w:gridCol w:w="1012"/>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3" w:hRule="atLeast"/>
                <w:tblHeader/>
              </w:trPr>
              <w:tc>
                <w:tcPr>
                  <w:tcW w:w="1209" w:type="dxa"/>
                  <w:vMerge w:val="restart"/>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检测项目</w:t>
                  </w:r>
                </w:p>
              </w:tc>
              <w:tc>
                <w:tcPr>
                  <w:tcW w:w="6075" w:type="dxa"/>
                  <w:gridSpan w:val="6"/>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☆污水处理厂出水口</w:t>
                  </w:r>
                </w:p>
              </w:tc>
              <w:tc>
                <w:tcPr>
                  <w:tcW w:w="1012" w:type="dxa"/>
                  <w:vMerge w:val="restart"/>
                  <w:tcBorders>
                    <w:tl2br w:val="nil"/>
                    <w:tr2bl w:val="nil"/>
                  </w:tcBorders>
                  <w:vAlign w:val="center"/>
                </w:tcPr>
                <w:p>
                  <w:pPr>
                    <w:widowControl/>
                    <w:jc w:val="center"/>
                    <w:textAlignment w:val="center"/>
                    <w:rPr>
                      <w:rFonts w:hint="eastAsia" w:ascii="宋体" w:hAnsi="宋体" w:eastAsia="宋体" w:cs="宋体"/>
                      <w:b w:val="0"/>
                      <w:bCs/>
                      <w:i w:val="0"/>
                      <w:color w:val="auto"/>
                      <w:sz w:val="24"/>
                      <w:szCs w:val="24"/>
                      <w:highlight w:val="none"/>
                      <w:u w:val="none"/>
                    </w:rPr>
                  </w:pPr>
                  <w:r>
                    <w:rPr>
                      <w:rFonts w:hint="eastAsia" w:ascii="宋体" w:hAnsi="宋体" w:eastAsia="宋体" w:cs="宋体"/>
                      <w:b w:val="0"/>
                      <w:bCs/>
                      <w:i w:val="0"/>
                      <w:color w:val="auto"/>
                      <w:kern w:val="0"/>
                      <w:sz w:val="24"/>
                      <w:szCs w:val="24"/>
                      <w:highlight w:val="none"/>
                      <w:u w:val="none"/>
                      <w:lang w:val="en-US" w:eastAsia="zh-CN"/>
                    </w:rPr>
                    <w:t>单位</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3" w:hRule="atLeast"/>
                <w:tblHeader/>
              </w:trPr>
              <w:tc>
                <w:tcPr>
                  <w:tcW w:w="1209" w:type="dxa"/>
                  <w:vMerge w:val="continue"/>
                  <w:tcBorders>
                    <w:tl2br w:val="nil"/>
                    <w:tr2bl w:val="nil"/>
                  </w:tcBorders>
                  <w:vAlign w:val="center"/>
                </w:tcPr>
                <w:p>
                  <w:pPr>
                    <w:jc w:val="center"/>
                    <w:rPr>
                      <w:rFonts w:hint="eastAsia" w:ascii="宋体" w:hAnsi="宋体" w:eastAsia="宋体" w:cs="宋体"/>
                      <w:b w:val="0"/>
                      <w:bCs/>
                      <w:i w:val="0"/>
                      <w:color w:val="auto"/>
                      <w:sz w:val="21"/>
                      <w:szCs w:val="21"/>
                      <w:highlight w:val="none"/>
                      <w:u w:val="none"/>
                    </w:rPr>
                  </w:pPr>
                </w:p>
              </w:tc>
              <w:tc>
                <w:tcPr>
                  <w:tcW w:w="3037" w:type="dxa"/>
                  <w:gridSpan w:val="3"/>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2018.10.17</w:t>
                  </w:r>
                </w:p>
              </w:tc>
              <w:tc>
                <w:tcPr>
                  <w:tcW w:w="3038" w:type="dxa"/>
                  <w:gridSpan w:val="3"/>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2018.10.18</w:t>
                  </w:r>
                </w:p>
              </w:tc>
              <w:tc>
                <w:tcPr>
                  <w:tcW w:w="1012" w:type="dxa"/>
                  <w:vMerge w:val="continue"/>
                  <w:tcBorders>
                    <w:tl2br w:val="nil"/>
                    <w:tr2bl w:val="nil"/>
                  </w:tcBorders>
                  <w:vAlign w:val="center"/>
                </w:tcPr>
                <w:p>
                  <w:pPr>
                    <w:jc w:val="center"/>
                    <w:rPr>
                      <w:rFonts w:hint="eastAsia" w:ascii="宋体" w:hAnsi="宋体" w:eastAsia="宋体" w:cs="宋体"/>
                      <w:b w:val="0"/>
                      <w:bCs/>
                      <w:i w:val="0"/>
                      <w:color w:val="auto"/>
                      <w:sz w:val="24"/>
                      <w:szCs w:val="24"/>
                      <w:highlight w:val="none"/>
                      <w:u w:val="none"/>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pH值</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7.37</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7.38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7.50</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7.50</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7.54</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7.52</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无量纲</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色度</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度</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动植物油</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0.09</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0.10</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0.11</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0.18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0.16</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石油类</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0.02</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0.01L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生化需氧量</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14.2</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15.6</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14.7</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14.3</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15.9</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化学需氧量</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36</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34</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38</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39</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35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42</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氨氮</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6.22</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6.46</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7.23</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6.75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6.82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7.62</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总磷</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0.37</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0.35</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0.44</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0.42</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0.40</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0.42</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总氮</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9.36</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9.58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10.4</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9.68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9.88</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10.3</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128"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lang w:val="en-US"/>
                    </w:rPr>
                  </w:pPr>
                  <w:r>
                    <w:rPr>
                      <w:rFonts w:hint="default" w:ascii="Times New Roman" w:hAnsi="Times New Roman" w:cs="Times New Roman"/>
                      <w:b w:val="0"/>
                      <w:bCs/>
                      <w:i w:val="0"/>
                      <w:color w:val="auto"/>
                      <w:kern w:val="0"/>
                      <w:sz w:val="21"/>
                      <w:szCs w:val="21"/>
                      <w:highlight w:val="none"/>
                      <w:u w:val="none"/>
                      <w:lang w:val="en-US" w:eastAsia="zh-CN"/>
                    </w:rPr>
                    <w:t>LA</w:t>
                  </w:r>
                  <w:r>
                    <w:rPr>
                      <w:rFonts w:hint="eastAsia" w:ascii="Times New Roman" w:hAnsi="Times New Roman" w:cs="Times New Roman"/>
                      <w:b w:val="0"/>
                      <w:bCs/>
                      <w:i w:val="0"/>
                      <w:color w:val="auto"/>
                      <w:kern w:val="0"/>
                      <w:sz w:val="21"/>
                      <w:szCs w:val="21"/>
                      <w:highlight w:val="none"/>
                      <w:u w:val="none"/>
                      <w:lang w:val="en-US" w:eastAsia="zh-CN"/>
                    </w:rPr>
                    <w:t>S</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0.05L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汞</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0.00004L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砷</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0.0003L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90" w:hRule="atLeast"/>
              </w:trPr>
              <w:tc>
                <w:tcPr>
                  <w:tcW w:w="1209" w:type="dxa"/>
                  <w:vMerge w:val="restart"/>
                  <w:tcBorders>
                    <w:tl2br w:val="nil"/>
                    <w:tr2bl w:val="nil"/>
                  </w:tcBorders>
                  <w:vAlign w:val="center"/>
                </w:tcPr>
                <w:p>
                  <w:pPr>
                    <w:jc w:val="center"/>
                    <w:rPr>
                      <w:rFonts w:hint="eastAsia" w:ascii="宋体" w:hAnsi="宋体" w:eastAsia="宋体" w:cs="宋体"/>
                      <w:b w:val="0"/>
                      <w:bCs/>
                      <w:i w:val="0"/>
                      <w:color w:val="auto"/>
                      <w:sz w:val="21"/>
                      <w:szCs w:val="21"/>
                      <w:highlight w:val="none"/>
                      <w:u w:val="none"/>
                    </w:rPr>
                  </w:pPr>
                  <w:r>
                    <w:rPr>
                      <w:rFonts w:hint="eastAsia" w:ascii="宋体" w:hAnsi="宋体" w:cs="宋体"/>
                      <w:i w:val="0"/>
                      <w:color w:val="auto"/>
                      <w:kern w:val="0"/>
                      <w:sz w:val="21"/>
                      <w:szCs w:val="21"/>
                      <w:highlight w:val="none"/>
                      <w:u w:val="none"/>
                      <w:lang w:val="en-US" w:eastAsia="zh-CN"/>
                    </w:rPr>
                    <w:t>烷基汞</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甲基汞：10L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ng/L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90" w:hRule="atLeast"/>
              </w:trPr>
              <w:tc>
                <w:tcPr>
                  <w:tcW w:w="1209" w:type="dxa"/>
                  <w:vMerge w:val="continue"/>
                  <w:tcBorders>
                    <w:tl2br w:val="nil"/>
                    <w:tr2bl w:val="nil"/>
                  </w:tcBorders>
                  <w:vAlign w:val="center"/>
                </w:tcPr>
                <w:p>
                  <w:pPr>
                    <w:jc w:val="center"/>
                    <w:rPr>
                      <w:rFonts w:hint="eastAsia" w:ascii="宋体" w:hAnsi="宋体" w:eastAsia="宋体" w:cs="宋体"/>
                      <w:b w:val="0"/>
                      <w:bCs/>
                      <w:i w:val="0"/>
                      <w:color w:val="auto"/>
                      <w:sz w:val="21"/>
                      <w:szCs w:val="21"/>
                      <w:highlight w:val="none"/>
                      <w:u w:val="none"/>
                    </w:rPr>
                  </w:pP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乙基汞：20L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ng/L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铅</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2"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3" w:type="dxa"/>
                  <w:tcBorders>
                    <w:tl2br w:val="nil"/>
                    <w:tr2bl w:val="nil"/>
                  </w:tcBorders>
                  <w:vAlign w:val="center"/>
                </w:tcPr>
                <w:p>
                  <w:pPr>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color w:val="auto"/>
                      <w:kern w:val="0"/>
                      <w:szCs w:val="21"/>
                      <w:highlight w:val="none"/>
                    </w:rPr>
                    <w:t>0.001L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default" w:ascii="Times New Roman" w:hAnsi="Times New Roman" w:eastAsia="宋体" w:cs="Times New Roman"/>
                      <w:b w:val="0"/>
                      <w:bCs/>
                      <w:i w:val="0"/>
                      <w:color w:val="auto"/>
                      <w:sz w:val="21"/>
                      <w:szCs w:val="21"/>
                      <w:highlight w:val="none"/>
                      <w:u w:val="none"/>
                    </w:rPr>
                  </w:pPr>
                  <w:r>
                    <w:rPr>
                      <w:rFonts w:hint="default" w:ascii="Times New Roman" w:hAnsi="Times New Roman" w:eastAsia="宋体" w:cs="Times New Roman"/>
                      <w:b w:val="0"/>
                      <w:bCs/>
                      <w:i w:val="0"/>
                      <w:color w:val="auto"/>
                      <w:kern w:val="0"/>
                      <w:sz w:val="21"/>
                      <w:szCs w:val="21"/>
                      <w:highlight w:val="none"/>
                      <w:u w:val="none"/>
                      <w:lang w:val="en-US" w:eastAsia="zh-CN"/>
                    </w:rPr>
                    <w:t>镉</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0.0001L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铬</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0.03L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六价铬</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0.004L</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悬浮物</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14</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10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6</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5</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7</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4</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mg/L</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15" w:type="dxa"/>
                  <w:left w:w="15" w:type="dxa"/>
                  <w:bottom w:w="15" w:type="dxa"/>
                  <w:right w:w="15" w:type="dxa"/>
                </w:tblCellMar>
              </w:tblPrEx>
              <w:trPr>
                <w:trHeight w:val="286" w:hRule="atLeast"/>
              </w:trPr>
              <w:tc>
                <w:tcPr>
                  <w:tcW w:w="1209"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粪大肠菌群</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330</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350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580</w:t>
                  </w:r>
                </w:p>
              </w:tc>
              <w:tc>
                <w:tcPr>
                  <w:tcW w:w="1012"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560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430</w:t>
                  </w:r>
                </w:p>
              </w:tc>
              <w:tc>
                <w:tcPr>
                  <w:tcW w:w="1013" w:type="dxa"/>
                  <w:tcBorders>
                    <w:tl2br w:val="nil"/>
                    <w:tr2bl w:val="nil"/>
                  </w:tcBorders>
                  <w:vAlign w:val="center"/>
                </w:tcPr>
                <w:p>
                  <w:pPr>
                    <w:spacing w:line="280" w:lineRule="exact"/>
                    <w:jc w:val="center"/>
                    <w:rPr>
                      <w:rFonts w:hint="default" w:ascii="Times New Roman" w:hAnsi="Times New Roman" w:eastAsia="宋体" w:cs="Times New Roman"/>
                      <w:b w:val="0"/>
                      <w:bCs/>
                      <w:i w:val="0"/>
                      <w:color w:val="auto"/>
                      <w:sz w:val="21"/>
                      <w:szCs w:val="21"/>
                      <w:highlight w:val="none"/>
                      <w:u w:val="none"/>
                    </w:rPr>
                  </w:pPr>
                  <w:r>
                    <w:rPr>
                      <w:rFonts w:hint="eastAsia" w:ascii="宋体" w:hAnsi="宋体"/>
                      <w:bCs/>
                      <w:color w:val="auto"/>
                      <w:szCs w:val="21"/>
                      <w:highlight w:val="none"/>
                    </w:rPr>
                    <w:t>450</w:t>
                  </w:r>
                </w:p>
              </w:tc>
              <w:tc>
                <w:tcPr>
                  <w:tcW w:w="1012" w:type="dxa"/>
                  <w:tcBorders>
                    <w:tl2br w:val="nil"/>
                    <w:tr2bl w:val="nil"/>
                  </w:tcBorders>
                  <w:vAlign w:val="center"/>
                </w:tcPr>
                <w:p>
                  <w:pPr>
                    <w:widowControl/>
                    <w:jc w:val="center"/>
                    <w:textAlignment w:val="center"/>
                    <w:rPr>
                      <w:rFonts w:hint="eastAsia" w:ascii="宋体" w:hAnsi="宋体" w:eastAsia="宋体" w:cs="宋体"/>
                      <w:b w:val="0"/>
                      <w:bCs/>
                      <w:i w:val="0"/>
                      <w:color w:val="auto"/>
                      <w:sz w:val="21"/>
                      <w:szCs w:val="21"/>
                      <w:highlight w:val="none"/>
                      <w:u w:val="none"/>
                    </w:rPr>
                  </w:pPr>
                  <w:r>
                    <w:rPr>
                      <w:rFonts w:hint="eastAsia" w:ascii="宋体" w:hAnsi="宋体" w:eastAsia="宋体" w:cs="宋体"/>
                      <w:b w:val="0"/>
                      <w:bCs/>
                      <w:i w:val="0"/>
                      <w:color w:val="auto"/>
                      <w:kern w:val="0"/>
                      <w:sz w:val="21"/>
                      <w:szCs w:val="21"/>
                      <w:highlight w:val="none"/>
                      <w:u w:val="none"/>
                      <w:lang w:val="en-US" w:eastAsia="zh-CN"/>
                    </w:rPr>
                    <w:t>个/L</w:t>
                  </w:r>
                </w:p>
              </w:tc>
            </w:tr>
          </w:tbl>
          <w:p>
            <w:pPr>
              <w:widowControl w:val="0"/>
              <w:wordWrap/>
              <w:adjustRightInd/>
              <w:snapToGrid/>
              <w:spacing w:line="360" w:lineRule="auto"/>
              <w:ind w:firstLine="480" w:firstLineChars="200"/>
              <w:textAlignment w:val="auto"/>
              <w:outlineLvl w:val="9"/>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zh-TW" w:eastAsia="zh-CN"/>
              </w:rPr>
              <w:t>验收监测期间，</w:t>
            </w:r>
            <w:r>
              <w:rPr>
                <w:rFonts w:hint="eastAsia" w:cs="Times New Roman"/>
                <w:color w:val="auto"/>
                <w:sz w:val="24"/>
                <w:szCs w:val="24"/>
                <w:highlight w:val="none"/>
                <w:lang w:val="zh-TW" w:eastAsia="zh-CN"/>
              </w:rPr>
              <w:t>二道河农场污水处理厂尾水各项指标均满足</w:t>
            </w:r>
            <w:r>
              <w:rPr>
                <w:rFonts w:hint="default" w:ascii="Times New Roman" w:hAnsi="Times New Roman" w:cs="Times New Roman"/>
                <w:color w:val="auto"/>
                <w:sz w:val="24"/>
                <w:szCs w:val="28"/>
                <w:highlight w:val="none"/>
              </w:rPr>
              <w:t>《城镇污水处理厂污染物排放标准》（GB18918-2002）一级B标准</w:t>
            </w:r>
            <w:r>
              <w:rPr>
                <w:rFonts w:hint="default" w:ascii="Times New Roman" w:hAnsi="Times New Roman" w:cs="Times New Roman"/>
                <w:color w:val="auto"/>
                <w:sz w:val="24"/>
                <w:szCs w:val="24"/>
                <w:highlight w:val="none"/>
                <w:lang w:val="en-US" w:eastAsia="zh-CN"/>
              </w:rPr>
              <w:t>。</w:t>
            </w:r>
          </w:p>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④</w:t>
            </w:r>
            <w:r>
              <w:rPr>
                <w:rFonts w:hint="default" w:ascii="Times New Roman" w:hAnsi="Times New Roman" w:cs="Times New Roman"/>
                <w:color w:val="auto"/>
                <w:sz w:val="24"/>
                <w:szCs w:val="24"/>
                <w:highlight w:val="none"/>
                <w:lang w:val="en-US" w:eastAsia="zh-CN"/>
              </w:rPr>
              <w:t>噪声验收监测结果及评价</w:t>
            </w:r>
          </w:p>
          <w:p>
            <w:pPr>
              <w:spacing w:line="360" w:lineRule="auto"/>
              <w:ind w:firstLine="480" w:firstLineChars="200"/>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cs="Times New Roman"/>
                <w:color w:val="auto"/>
                <w:sz w:val="24"/>
                <w:szCs w:val="24"/>
                <w:highlight w:val="none"/>
                <w:lang w:val="en-US" w:eastAsia="zh-CN"/>
              </w:rPr>
              <w:t>噪声监测结果见表7-</w:t>
            </w:r>
            <w:r>
              <w:rPr>
                <w:rFonts w:hint="eastAsia" w:cs="Times New Roman"/>
                <w:color w:val="auto"/>
                <w:sz w:val="24"/>
                <w:szCs w:val="24"/>
                <w:highlight w:val="none"/>
                <w:lang w:val="en-US" w:eastAsia="zh-CN"/>
              </w:rPr>
              <w:t>6</w:t>
            </w:r>
            <w:r>
              <w:rPr>
                <w:rFonts w:hint="default" w:ascii="Times New Roman" w:hAnsi="Times New Roman" w:cs="Times New Roman"/>
                <w:color w:val="auto"/>
                <w:sz w:val="24"/>
                <w:szCs w:val="24"/>
                <w:highlight w:val="none"/>
                <w:lang w:val="en-US"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6</w:t>
            </w:r>
            <w:r>
              <w:rPr>
                <w:rFonts w:hint="default" w:ascii="Times New Roman" w:hAnsi="Times New Roman" w:eastAsia="黑体" w:cs="Times New Roman"/>
                <w:b w:val="0"/>
                <w:bCs/>
                <w:color w:val="auto"/>
                <w:kern w:val="0"/>
                <w:sz w:val="21"/>
                <w:szCs w:val="21"/>
                <w:highlight w:val="none"/>
                <w:lang w:eastAsia="zh-CN"/>
              </w:rPr>
              <w:t>噪声检测结果</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单位：dB(A)</w:t>
            </w:r>
          </w:p>
          <w:tbl>
            <w:tblPr>
              <w:tblStyle w:val="12"/>
              <w:tblW w:w="8306" w:type="dxa"/>
              <w:tblInd w:w="-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793"/>
              <w:gridCol w:w="793"/>
              <w:gridCol w:w="793"/>
              <w:gridCol w:w="793"/>
              <w:gridCol w:w="793"/>
              <w:gridCol w:w="793"/>
              <w:gridCol w:w="793"/>
              <w:gridCol w:w="7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98" w:hRule="atLeast"/>
                <w:tblHeader/>
              </w:trPr>
              <w:tc>
                <w:tcPr>
                  <w:tcW w:w="1962" w:type="dxa"/>
                  <w:vMerge w:val="restart"/>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highlight w:val="none"/>
                    </w:rPr>
                    <w:t>检测地点</w:t>
                  </w:r>
                </w:p>
              </w:tc>
              <w:tc>
                <w:tcPr>
                  <w:tcW w:w="3172" w:type="dxa"/>
                  <w:gridSpan w:val="4"/>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2018年10月17日</w:t>
                  </w:r>
                </w:p>
              </w:tc>
              <w:tc>
                <w:tcPr>
                  <w:tcW w:w="3172" w:type="dxa"/>
                  <w:gridSpan w:val="4"/>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2018年10月18日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86" w:hRule="atLeast"/>
                <w:tblHeader/>
              </w:trPr>
              <w:tc>
                <w:tcPr>
                  <w:tcW w:w="1962" w:type="dxa"/>
                  <w:vMerge w:val="continue"/>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p>
              </w:tc>
              <w:tc>
                <w:tcPr>
                  <w:tcW w:w="1586" w:type="dxa"/>
                  <w:gridSpan w:val="2"/>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昼L</w:t>
                  </w:r>
                  <w:r>
                    <w:rPr>
                      <w:rFonts w:hint="default" w:ascii="Times New Roman" w:hAnsi="Times New Roman" w:eastAsia="宋体" w:cs="Times New Roman"/>
                      <w:b w:val="0"/>
                      <w:bCs/>
                      <w:color w:val="auto"/>
                      <w:highlight w:val="none"/>
                      <w:vertAlign w:val="subscript"/>
                    </w:rPr>
                    <w:t>eq</w:t>
                  </w:r>
                </w:p>
              </w:tc>
              <w:tc>
                <w:tcPr>
                  <w:tcW w:w="1586" w:type="dxa"/>
                  <w:gridSpan w:val="2"/>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夜L</w:t>
                  </w:r>
                  <w:r>
                    <w:rPr>
                      <w:rFonts w:hint="default" w:ascii="Times New Roman" w:hAnsi="Times New Roman" w:eastAsia="宋体" w:cs="Times New Roman"/>
                      <w:b w:val="0"/>
                      <w:bCs/>
                      <w:color w:val="auto"/>
                      <w:highlight w:val="none"/>
                      <w:vertAlign w:val="subscript"/>
                    </w:rPr>
                    <w:t>eq</w:t>
                  </w:r>
                </w:p>
              </w:tc>
              <w:tc>
                <w:tcPr>
                  <w:tcW w:w="1586" w:type="dxa"/>
                  <w:gridSpan w:val="2"/>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昼L</w:t>
                  </w:r>
                  <w:r>
                    <w:rPr>
                      <w:rFonts w:hint="default" w:ascii="Times New Roman" w:hAnsi="Times New Roman" w:eastAsia="宋体" w:cs="Times New Roman"/>
                      <w:b w:val="0"/>
                      <w:bCs/>
                      <w:color w:val="auto"/>
                      <w:highlight w:val="none"/>
                      <w:vertAlign w:val="subscript"/>
                    </w:rPr>
                    <w:t>eq</w:t>
                  </w:r>
                </w:p>
              </w:tc>
              <w:tc>
                <w:tcPr>
                  <w:tcW w:w="1586" w:type="dxa"/>
                  <w:gridSpan w:val="2"/>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夜L</w:t>
                  </w:r>
                  <w:r>
                    <w:rPr>
                      <w:rFonts w:hint="default" w:ascii="Times New Roman" w:hAnsi="Times New Roman" w:eastAsia="宋体" w:cs="Times New Roman"/>
                      <w:b w:val="0"/>
                      <w:bCs/>
                      <w:color w:val="auto"/>
                      <w:highlight w:val="none"/>
                      <w:vertAlign w:val="subscript"/>
                    </w:rPr>
                    <w:t>eq</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86" w:hRule="atLeast"/>
              </w:trPr>
              <w:tc>
                <w:tcPr>
                  <w:tcW w:w="1962"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▲1北边界外1m处</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50.2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50.4</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40.3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40.2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50.1</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50.2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40.1</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40.3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86" w:hRule="atLeast"/>
              </w:trPr>
              <w:tc>
                <w:tcPr>
                  <w:tcW w:w="1962"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▲2东边界外1m处</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51.5</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41.4</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51.6</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51.7</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98" w:hRule="atLeast"/>
              </w:trPr>
              <w:tc>
                <w:tcPr>
                  <w:tcW w:w="1962"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▲3南边界外1m处</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53.4</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53.6</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43.5</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43.3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53.2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53.4</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43.3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03" w:hRule="atLeast"/>
              </w:trPr>
              <w:tc>
                <w:tcPr>
                  <w:tcW w:w="1962"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highlight w:val="none"/>
                    </w:rPr>
                    <w:t>▲4西边界外1m处</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51.7</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51.5</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41.5</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51.2</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51.1</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41.3</w:t>
                  </w:r>
                </w:p>
              </w:tc>
              <w:tc>
                <w:tcPr>
                  <w:tcW w:w="793" w:type="dxa"/>
                  <w:tcBorders>
                    <w:tl2br w:val="nil"/>
                    <w:tr2bl w:val="nil"/>
                  </w:tcBorders>
                  <w:vAlign w:val="center"/>
                </w:tcPr>
                <w:p>
                  <w:pPr>
                    <w:jc w:val="center"/>
                    <w:rPr>
                      <w:rFonts w:hint="default" w:ascii="Times New Roman" w:hAnsi="Times New Roman" w:eastAsia="宋体" w:cs="Times New Roman"/>
                      <w:b w:val="0"/>
                      <w:bCs/>
                      <w:color w:val="auto"/>
                      <w:sz w:val="21"/>
                      <w:szCs w:val="21"/>
                      <w:highlight w:val="none"/>
                    </w:rPr>
                  </w:pPr>
                  <w:r>
                    <w:rPr>
                      <w:rFonts w:hint="default" w:ascii="Times New Roman" w:hAnsi="Times New Roman" w:cs="Times New Roman"/>
                      <w:color w:val="auto"/>
                      <w:highlight w:val="none"/>
                    </w:rPr>
                    <w:t>41.0</w:t>
                  </w:r>
                </w:p>
              </w:tc>
            </w:tr>
          </w:tbl>
          <w:p>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验收监测期间，厂界昼间噪声监测值在</w:t>
            </w:r>
            <w:r>
              <w:rPr>
                <w:rFonts w:hint="eastAsia" w:cs="Times New Roman"/>
                <w:color w:val="auto"/>
                <w:sz w:val="24"/>
                <w:szCs w:val="24"/>
                <w:highlight w:val="none"/>
                <w:lang w:val="en-US" w:eastAsia="zh-CN"/>
              </w:rPr>
              <w:t>50.1</w:t>
            </w:r>
            <w:r>
              <w:rPr>
                <w:rFonts w:hint="default" w:ascii="Times New Roman" w:hAnsi="Times New Roman" w:cs="Times New Roman"/>
                <w:color w:val="auto"/>
                <w:sz w:val="24"/>
                <w:szCs w:val="24"/>
                <w:highlight w:val="none"/>
                <w:lang w:val="en-US" w:eastAsia="zh-CN"/>
              </w:rPr>
              <w:t>～5</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.6dB（A）之间、夜间噪声监测值在</w:t>
            </w:r>
            <w:r>
              <w:rPr>
                <w:rFonts w:hint="eastAsia" w:cs="Times New Roman"/>
                <w:color w:val="auto"/>
                <w:sz w:val="24"/>
                <w:szCs w:val="24"/>
                <w:highlight w:val="none"/>
                <w:lang w:val="en-US" w:eastAsia="zh-CN"/>
              </w:rPr>
              <w:t>40.1</w:t>
            </w:r>
            <w:r>
              <w:rPr>
                <w:rFonts w:hint="default" w:ascii="Times New Roman" w:hAnsi="Times New Roman" w:cs="Times New Roman"/>
                <w:color w:val="auto"/>
                <w:sz w:val="24"/>
                <w:szCs w:val="24"/>
                <w:highlight w:val="none"/>
                <w:lang w:val="en-US" w:eastAsia="zh-CN"/>
              </w:rPr>
              <w:t>～43.</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lang w:val="en-US" w:eastAsia="zh-CN"/>
              </w:rPr>
              <w:t>dB（A）之间，以上监测结果均符合《工业企业厂界环境噪声排放标准》（GB12348-2008）中的</w:t>
            </w:r>
            <w:r>
              <w:rPr>
                <w:rFonts w:hint="eastAsia"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类标准要求。</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2、工程建设对环境的影响</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①</w:t>
            </w:r>
            <w:r>
              <w:rPr>
                <w:rFonts w:hint="default" w:ascii="Times New Roman" w:hAnsi="Times New Roman" w:cs="Times New Roman"/>
                <w:color w:val="auto"/>
                <w:sz w:val="24"/>
                <w:szCs w:val="24"/>
                <w:highlight w:val="none"/>
                <w:lang w:val="en-US" w:eastAsia="zh-CN"/>
              </w:rPr>
              <w:t>环境空气监测结果及评价</w:t>
            </w:r>
          </w:p>
          <w:p>
            <w:pPr>
              <w:spacing w:line="360" w:lineRule="auto"/>
              <w:ind w:firstLine="480" w:firstLineChars="200"/>
              <w:rPr>
                <w:rFonts w:hint="default" w:ascii="Times New Roman" w:hAnsi="Times New Roman" w:cs="Times New Roman"/>
                <w:color w:val="auto"/>
                <w:highlight w:val="none"/>
                <w:lang w:eastAsia="zh-CN"/>
              </w:rPr>
            </w:pPr>
            <w:r>
              <w:rPr>
                <w:rFonts w:hint="default" w:ascii="Times New Roman" w:hAnsi="Times New Roman" w:cs="Times New Roman"/>
                <w:color w:val="auto"/>
                <w:sz w:val="24"/>
                <w:szCs w:val="24"/>
                <w:highlight w:val="none"/>
                <w:lang w:val="zh-TW" w:eastAsia="zh-CN"/>
              </w:rPr>
              <w:t>监测结果见表7-</w:t>
            </w: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lang w:val="zh-TW"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7</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eastAsia" w:eastAsia="黑体" w:cs="Times New Roman"/>
                <w:b w:val="0"/>
                <w:bCs/>
                <w:color w:val="auto"/>
                <w:kern w:val="0"/>
                <w:sz w:val="21"/>
                <w:szCs w:val="21"/>
                <w:highlight w:val="none"/>
                <w:lang w:eastAsia="zh-CN"/>
              </w:rPr>
              <w:t>环境空气</w:t>
            </w:r>
            <w:r>
              <w:rPr>
                <w:rFonts w:hint="default" w:ascii="Times New Roman" w:hAnsi="Times New Roman" w:eastAsia="黑体" w:cs="Times New Roman"/>
                <w:b w:val="0"/>
                <w:bCs/>
                <w:color w:val="auto"/>
                <w:kern w:val="0"/>
                <w:sz w:val="21"/>
                <w:szCs w:val="21"/>
                <w:highlight w:val="none"/>
                <w:lang w:eastAsia="zh-CN"/>
              </w:rPr>
              <w:t>检测结果</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单位：mg/m</w:t>
            </w:r>
            <w:r>
              <w:rPr>
                <w:rFonts w:hint="default" w:ascii="Times New Roman" w:hAnsi="Times New Roman" w:eastAsia="黑体" w:cs="Times New Roman"/>
                <w:b w:val="0"/>
                <w:bCs/>
                <w:color w:val="auto"/>
                <w:kern w:val="0"/>
                <w:sz w:val="21"/>
                <w:szCs w:val="21"/>
                <w:highlight w:val="none"/>
                <w:vertAlign w:val="superscript"/>
                <w:lang w:eastAsia="zh-CN"/>
              </w:rPr>
              <w:t>3</w:t>
            </w:r>
          </w:p>
          <w:tbl>
            <w:tblPr>
              <w:tblStyle w:val="11"/>
              <w:tblW w:w="8300" w:type="dxa"/>
              <w:tblInd w:w="-2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924"/>
              <w:gridCol w:w="1934"/>
              <w:gridCol w:w="1120"/>
              <w:gridCol w:w="1218"/>
              <w:gridCol w:w="165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1" w:hRule="atLeast"/>
              </w:trPr>
              <w:tc>
                <w:tcPr>
                  <w:tcW w:w="1447" w:type="dxa"/>
                  <w:vMerge w:val="restart"/>
                  <w:tcBorders>
                    <w:tl2br w:val="nil"/>
                    <w:tr2bl w:val="nil"/>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采样地点</w:t>
                  </w:r>
                </w:p>
              </w:tc>
              <w:tc>
                <w:tcPr>
                  <w:tcW w:w="2858" w:type="dxa"/>
                  <w:gridSpan w:val="2"/>
                  <w:tcBorders>
                    <w:tl2br w:val="nil"/>
                    <w:tr2bl w:val="nil"/>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采样时间</w:t>
                  </w:r>
                </w:p>
              </w:tc>
              <w:tc>
                <w:tcPr>
                  <w:tcW w:w="3995" w:type="dxa"/>
                  <w:gridSpan w:val="3"/>
                  <w:tcBorders>
                    <w:tl2br w:val="nil"/>
                    <w:tr2bl w:val="nil"/>
                  </w:tcBorders>
                  <w:vAlign w:val="center"/>
                </w:tcPr>
                <w:p>
                  <w:pPr>
                    <w:spacing w:line="240" w:lineRule="auto"/>
                    <w:ind w:right="-105" w:rightChars="-50"/>
                    <w:jc w:val="center"/>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检测项目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99"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2858" w:type="dxa"/>
                  <w:gridSpan w:val="2"/>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2018年10月</w:t>
                  </w:r>
                </w:p>
              </w:tc>
              <w:tc>
                <w:tcPr>
                  <w:tcW w:w="1120" w:type="dxa"/>
                  <w:tcBorders>
                    <w:tl2br w:val="nil"/>
                    <w:tr2bl w:val="nil"/>
                  </w:tcBorders>
                  <w:vAlign w:val="center"/>
                </w:tcPr>
                <w:p>
                  <w:pPr>
                    <w:pStyle w:val="22"/>
                    <w:spacing w:line="240" w:lineRule="auto"/>
                    <w:ind w:left="-105" w:leftChars="-50" w:right="-105" w:rightChars="-50"/>
                    <w:jc w:val="center"/>
                    <w:rPr>
                      <w:rFonts w:hint="default" w:ascii="Times New Roman" w:hAnsi="Times New Roman" w:eastAsia="宋体" w:cs="Times New Roman"/>
                      <w:b w:val="0"/>
                      <w:bCs/>
                      <w:i w:val="0"/>
                      <w:color w:val="auto"/>
                      <w:sz w:val="21"/>
                      <w:szCs w:val="21"/>
                      <w:highlight w:val="none"/>
                    </w:rPr>
                  </w:pPr>
                  <w:r>
                    <w:rPr>
                      <w:rFonts w:hint="default" w:ascii="Times New Roman" w:hAnsi="Times New Roman" w:eastAsia="宋体" w:cs="Times New Roman"/>
                      <w:b w:val="0"/>
                      <w:bCs/>
                      <w:i w:val="0"/>
                      <w:color w:val="auto"/>
                      <w:sz w:val="21"/>
                      <w:szCs w:val="21"/>
                      <w:highlight w:val="none"/>
                    </w:rPr>
                    <w:t>氨</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硫化氢</w:t>
                  </w:r>
                </w:p>
              </w:tc>
              <w:tc>
                <w:tcPr>
                  <w:tcW w:w="1657"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臭气浓度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447" w:type="dxa"/>
                  <w:vMerge w:val="restart"/>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○二道河农场学校（D）</w:t>
                  </w:r>
                </w:p>
              </w:tc>
              <w:tc>
                <w:tcPr>
                  <w:tcW w:w="924" w:type="dxa"/>
                  <w:vMerge w:val="restart"/>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17日</w:t>
                  </w: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09:30-10:30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0.06</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924"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15:30-16:30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0.07</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924"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18:30-19:30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0.05</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924" w:type="dxa"/>
                  <w:vMerge w:val="restart"/>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18日</w:t>
                  </w: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09:30-10:30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0.04</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adjustRightInd w:val="0"/>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924"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15:30-16:30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0.05</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trPr>
              <w:tc>
                <w:tcPr>
                  <w:tcW w:w="1447"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924" w:type="dxa"/>
                  <w:vMerge w:val="continue"/>
                  <w:tcBorders>
                    <w:tl2br w:val="nil"/>
                    <w:tr2bl w:val="nil"/>
                  </w:tcBorders>
                  <w:vAlign w:val="center"/>
                </w:tcPr>
                <w:p>
                  <w:pPr>
                    <w:spacing w:line="240" w:lineRule="auto"/>
                    <w:ind w:left="-105" w:leftChars="-50" w:right="-105" w:rightChars="-50"/>
                    <w:jc w:val="center"/>
                    <w:rPr>
                      <w:rFonts w:hint="default" w:ascii="Times New Roman" w:hAnsi="Times New Roman" w:eastAsia="宋体" w:cs="Times New Roman"/>
                      <w:b w:val="0"/>
                      <w:bCs/>
                      <w:color w:val="auto"/>
                      <w:sz w:val="21"/>
                      <w:szCs w:val="21"/>
                      <w:highlight w:val="none"/>
                    </w:rPr>
                  </w:pPr>
                </w:p>
              </w:tc>
              <w:tc>
                <w:tcPr>
                  <w:tcW w:w="1934" w:type="dxa"/>
                  <w:tcBorders>
                    <w:tl2br w:val="nil"/>
                    <w:tr2bl w:val="nil"/>
                  </w:tcBorders>
                  <w:vAlign w:val="center"/>
                </w:tcPr>
                <w:p>
                  <w:pPr>
                    <w:spacing w:line="240" w:lineRule="auto"/>
                    <w:ind w:left="-105" w:leftChars="-50" w:right="-105" w:rightChars="-50"/>
                    <w:jc w:val="center"/>
                    <w:outlineLvl w:val="0"/>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18:30-19:30</w:t>
                  </w:r>
                </w:p>
              </w:tc>
              <w:tc>
                <w:tcPr>
                  <w:tcW w:w="1120" w:type="dxa"/>
                  <w:tcBorders>
                    <w:tl2br w:val="nil"/>
                    <w:tr2bl w:val="nil"/>
                  </w:tcBorders>
                  <w:vAlign w:val="center"/>
                </w:tcPr>
                <w:p>
                  <w:pPr>
                    <w:spacing w:line="240" w:lineRule="auto"/>
                    <w:jc w:val="center"/>
                    <w:rPr>
                      <w:rFonts w:hint="eastAsia" w:ascii="Times New Roman" w:hAnsi="Times New Roman"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0.06</w:t>
                  </w:r>
                </w:p>
              </w:tc>
              <w:tc>
                <w:tcPr>
                  <w:tcW w:w="1218" w:type="dxa"/>
                  <w:tcBorders>
                    <w:tl2br w:val="nil"/>
                    <w:tr2bl w:val="nil"/>
                  </w:tcBorders>
                  <w:vAlign w:val="center"/>
                </w:tcPr>
                <w:p>
                  <w:pPr>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0.001L</w:t>
                  </w:r>
                </w:p>
              </w:tc>
              <w:tc>
                <w:tcPr>
                  <w:tcW w:w="1657" w:type="dxa"/>
                  <w:tcBorders>
                    <w:tl2br w:val="nil"/>
                    <w:tr2bl w:val="nil"/>
                  </w:tcBorders>
                  <w:vAlign w:val="center"/>
                </w:tcPr>
                <w:p>
                  <w:pPr>
                    <w:adjustRightInd w:val="0"/>
                    <w:spacing w:line="240" w:lineRule="auto"/>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≤10</w:t>
                  </w:r>
                </w:p>
              </w:tc>
            </w:tr>
          </w:tbl>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验收监测期间，</w:t>
            </w:r>
            <w:r>
              <w:rPr>
                <w:rFonts w:hint="eastAsia" w:cs="Times New Roman"/>
                <w:color w:val="auto"/>
                <w:sz w:val="24"/>
                <w:szCs w:val="24"/>
                <w:highlight w:val="none"/>
                <w:lang w:val="en-US" w:eastAsia="zh-CN"/>
              </w:rPr>
              <w:t>二道河农场</w:t>
            </w:r>
            <w:r>
              <w:rPr>
                <w:rFonts w:hint="default" w:ascii="Times New Roman" w:hAnsi="Times New Roman" w:cs="Times New Roman"/>
                <w:color w:val="auto"/>
                <w:sz w:val="24"/>
                <w:szCs w:val="24"/>
                <w:highlight w:val="none"/>
                <w:lang w:val="en-US" w:eastAsia="zh-CN"/>
              </w:rPr>
              <w:t>学校NH</w:t>
            </w:r>
            <w:r>
              <w:rPr>
                <w:rFonts w:hint="default" w:ascii="Times New Roman" w:hAnsi="Times New Roman"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H</w:t>
            </w:r>
            <w:r>
              <w:rPr>
                <w:rFonts w:hint="default" w:ascii="Times New Roman" w:hAnsi="Times New Roman" w:eastAsia="宋体" w:cs="Times New Roman"/>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en-US" w:eastAsia="zh-CN"/>
              </w:rPr>
              <w:t>均满足</w:t>
            </w:r>
            <w:r>
              <w:rPr>
                <w:rFonts w:hint="default" w:ascii="Times New Roman" w:hAnsi="Times New Roman" w:cs="Times New Roman"/>
                <w:color w:val="auto"/>
                <w:sz w:val="24"/>
                <w:szCs w:val="24"/>
                <w:highlight w:val="none"/>
              </w:rPr>
              <w:t>《工业企业设计卫生标准》（TJ36-79）表1居住区大气中有害物质的最高容许浓度。</w:t>
            </w:r>
          </w:p>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②</w:t>
            </w:r>
            <w:r>
              <w:rPr>
                <w:rFonts w:hint="default" w:ascii="Times New Roman" w:hAnsi="Times New Roman" w:cs="Times New Roman"/>
                <w:color w:val="auto"/>
                <w:sz w:val="24"/>
                <w:szCs w:val="24"/>
                <w:highlight w:val="none"/>
                <w:lang w:val="en-US" w:eastAsia="zh-CN"/>
              </w:rPr>
              <w:t>声环境监测结果及评价</w:t>
            </w:r>
          </w:p>
          <w:p>
            <w:pPr>
              <w:spacing w:line="360" w:lineRule="auto"/>
              <w:ind w:firstLine="480" w:firstLineChars="200"/>
              <w:rPr>
                <w:rFonts w:hint="default" w:ascii="Times New Roman" w:hAnsi="Times New Roman" w:cs="Times New Roman"/>
                <w:color w:val="auto"/>
                <w:sz w:val="24"/>
                <w:szCs w:val="24"/>
                <w:highlight w:val="none"/>
                <w:lang w:val="zh-TW" w:eastAsia="zh-CN"/>
              </w:rPr>
            </w:pPr>
            <w:r>
              <w:rPr>
                <w:rFonts w:hint="default" w:ascii="Times New Roman" w:hAnsi="Times New Roman" w:cs="Times New Roman"/>
                <w:color w:val="auto"/>
                <w:sz w:val="24"/>
                <w:szCs w:val="24"/>
                <w:highlight w:val="none"/>
                <w:lang w:val="zh-TW" w:eastAsia="zh-CN"/>
              </w:rPr>
              <w:t>监测结果见表7-</w:t>
            </w:r>
            <w:r>
              <w:rPr>
                <w:rFonts w:hint="eastAsia"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zh-TW" w:eastAsia="zh-CN"/>
              </w:rPr>
              <w:t>。</w:t>
            </w:r>
          </w:p>
          <w:p>
            <w:pPr>
              <w:spacing w:line="360" w:lineRule="auto"/>
              <w:jc w:val="center"/>
              <w:outlineLvl w:val="2"/>
              <w:rPr>
                <w:rFonts w:hint="default" w:ascii="Times New Roman" w:hAnsi="Times New Roman" w:eastAsia="黑体" w:cs="Times New Roman"/>
                <w:b w:val="0"/>
                <w:bCs/>
                <w:color w:val="auto"/>
                <w:kern w:val="0"/>
                <w:sz w:val="21"/>
                <w:szCs w:val="21"/>
                <w:highlight w:val="none"/>
                <w:lang w:eastAsia="zh-CN"/>
              </w:rPr>
            </w:pPr>
            <w:r>
              <w:rPr>
                <w:rFonts w:hint="default" w:ascii="Times New Roman" w:hAnsi="Times New Roman" w:eastAsia="黑体" w:cs="Times New Roman"/>
                <w:b w:val="0"/>
                <w:bCs/>
                <w:color w:val="auto"/>
                <w:kern w:val="0"/>
                <w:sz w:val="21"/>
                <w:szCs w:val="21"/>
                <w:highlight w:val="none"/>
                <w:lang w:eastAsia="zh-CN"/>
              </w:rPr>
              <w:t>表</w:t>
            </w:r>
            <w:r>
              <w:rPr>
                <w:rFonts w:hint="default" w:ascii="Times New Roman" w:hAnsi="Times New Roman" w:eastAsia="黑体" w:cs="Times New Roman"/>
                <w:b w:val="0"/>
                <w:bCs/>
                <w:color w:val="auto"/>
                <w:kern w:val="0"/>
                <w:sz w:val="21"/>
                <w:szCs w:val="21"/>
                <w:highlight w:val="none"/>
                <w:lang w:val="en-US" w:eastAsia="zh-CN"/>
              </w:rPr>
              <w:t>7-</w:t>
            </w:r>
            <w:r>
              <w:rPr>
                <w:rFonts w:hint="eastAsia" w:eastAsia="黑体" w:cs="Times New Roman"/>
                <w:b w:val="0"/>
                <w:bCs/>
                <w:color w:val="auto"/>
                <w:kern w:val="0"/>
                <w:sz w:val="21"/>
                <w:szCs w:val="21"/>
                <w:highlight w:val="none"/>
                <w:lang w:val="en-US" w:eastAsia="zh-CN"/>
              </w:rPr>
              <w:t>8</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噪声检测结果</w:t>
            </w:r>
            <w:r>
              <w:rPr>
                <w:rFonts w:hint="default" w:ascii="Times New Roman" w:hAnsi="Times New Roman" w:eastAsia="黑体" w:cs="Times New Roman"/>
                <w:b w:val="0"/>
                <w:bCs/>
                <w:color w:val="auto"/>
                <w:kern w:val="0"/>
                <w:sz w:val="21"/>
                <w:szCs w:val="21"/>
                <w:highlight w:val="none"/>
                <w:lang w:val="en-US" w:eastAsia="zh-CN"/>
              </w:rPr>
              <w:t xml:space="preserve">  </w:t>
            </w:r>
            <w:r>
              <w:rPr>
                <w:rFonts w:hint="default" w:ascii="Times New Roman" w:hAnsi="Times New Roman" w:eastAsia="黑体" w:cs="Times New Roman"/>
                <w:b w:val="0"/>
                <w:bCs/>
                <w:color w:val="auto"/>
                <w:kern w:val="0"/>
                <w:sz w:val="21"/>
                <w:szCs w:val="21"/>
                <w:highlight w:val="none"/>
                <w:lang w:eastAsia="zh-CN"/>
              </w:rPr>
              <w:t>单位：dB(A)</w:t>
            </w:r>
          </w:p>
          <w:tbl>
            <w:tblPr>
              <w:tblStyle w:val="12"/>
              <w:tblW w:w="830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99"/>
              <w:gridCol w:w="775"/>
              <w:gridCol w:w="775"/>
              <w:gridCol w:w="1"/>
              <w:gridCol w:w="774"/>
              <w:gridCol w:w="775"/>
              <w:gridCol w:w="3"/>
              <w:gridCol w:w="772"/>
              <w:gridCol w:w="775"/>
              <w:gridCol w:w="775"/>
              <w:gridCol w:w="78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2099" w:type="dxa"/>
                  <w:vMerge w:val="restart"/>
                  <w:tcBorders>
                    <w:tl2br w:val="nil"/>
                    <w:tr2bl w:val="nil"/>
                  </w:tcBorders>
                  <w:vAlign w:val="center"/>
                </w:tcPr>
                <w:p>
                  <w:pPr>
                    <w:spacing w:line="240" w:lineRule="auto"/>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color w:val="auto"/>
                      <w:highlight w:val="none"/>
                    </w:rPr>
                    <w:t>检测地点</w:t>
                  </w:r>
                </w:p>
              </w:tc>
              <w:tc>
                <w:tcPr>
                  <w:tcW w:w="3103" w:type="dxa"/>
                  <w:gridSpan w:val="6"/>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2018年10月17日</w:t>
                  </w:r>
                </w:p>
              </w:tc>
              <w:tc>
                <w:tcPr>
                  <w:tcW w:w="3104" w:type="dxa"/>
                  <w:gridSpan w:val="4"/>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2018年10月18日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2099" w:type="dxa"/>
                  <w:vMerge w:val="continue"/>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p>
              </w:tc>
              <w:tc>
                <w:tcPr>
                  <w:tcW w:w="1551" w:type="dxa"/>
                  <w:gridSpan w:val="3"/>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昼L</w:t>
                  </w:r>
                  <w:r>
                    <w:rPr>
                      <w:rFonts w:hint="default" w:ascii="Times New Roman" w:hAnsi="Times New Roman" w:eastAsia="宋体" w:cs="Times New Roman"/>
                      <w:b w:val="0"/>
                      <w:bCs/>
                      <w:color w:val="auto"/>
                      <w:highlight w:val="none"/>
                      <w:vertAlign w:val="subscript"/>
                    </w:rPr>
                    <w:t>eq</w:t>
                  </w:r>
                </w:p>
              </w:tc>
              <w:tc>
                <w:tcPr>
                  <w:tcW w:w="1552" w:type="dxa"/>
                  <w:gridSpan w:val="3"/>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夜L</w:t>
                  </w:r>
                  <w:r>
                    <w:rPr>
                      <w:rFonts w:hint="default" w:ascii="Times New Roman" w:hAnsi="Times New Roman" w:eastAsia="宋体" w:cs="Times New Roman"/>
                      <w:b w:val="0"/>
                      <w:bCs/>
                      <w:color w:val="auto"/>
                      <w:highlight w:val="none"/>
                      <w:vertAlign w:val="subscript"/>
                    </w:rPr>
                    <w:t>eq</w:t>
                  </w:r>
                </w:p>
              </w:tc>
              <w:tc>
                <w:tcPr>
                  <w:tcW w:w="1547" w:type="dxa"/>
                  <w:gridSpan w:val="2"/>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昼L</w:t>
                  </w:r>
                  <w:r>
                    <w:rPr>
                      <w:rFonts w:hint="default" w:ascii="Times New Roman" w:hAnsi="Times New Roman" w:eastAsia="宋体" w:cs="Times New Roman"/>
                      <w:b w:val="0"/>
                      <w:bCs/>
                      <w:color w:val="auto"/>
                      <w:highlight w:val="none"/>
                      <w:vertAlign w:val="subscript"/>
                    </w:rPr>
                    <w:t>eq</w:t>
                  </w:r>
                </w:p>
              </w:tc>
              <w:tc>
                <w:tcPr>
                  <w:tcW w:w="1557" w:type="dxa"/>
                  <w:gridSpan w:val="2"/>
                  <w:tcBorders>
                    <w:tl2br w:val="nil"/>
                    <w:tr2bl w:val="nil"/>
                  </w:tcBorders>
                  <w:vAlign w:val="center"/>
                </w:tcPr>
                <w:p>
                  <w:pPr>
                    <w:spacing w:line="240" w:lineRule="auto"/>
                    <w:jc w:val="center"/>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夜L</w:t>
                  </w:r>
                  <w:r>
                    <w:rPr>
                      <w:rFonts w:hint="default" w:ascii="Times New Roman" w:hAnsi="Times New Roman" w:eastAsia="宋体" w:cs="Times New Roman"/>
                      <w:b w:val="0"/>
                      <w:bCs/>
                      <w:color w:val="auto"/>
                      <w:highlight w:val="none"/>
                      <w:vertAlign w:val="subscript"/>
                    </w:rPr>
                    <w:t>eq</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2099" w:type="dxa"/>
                  <w:tcBorders>
                    <w:tl2br w:val="nil"/>
                    <w:tr2bl w:val="nil"/>
                  </w:tcBorders>
                  <w:vAlign w:val="center"/>
                </w:tcPr>
                <w:p>
                  <w:pPr>
                    <w:ind w:left="210" w:leftChars="0" w:hanging="210" w:hangingChars="1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▲5二道河农场学校北侧外1m处</w:t>
                  </w:r>
                </w:p>
              </w:tc>
              <w:tc>
                <w:tcPr>
                  <w:tcW w:w="775"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52.6</w:t>
                  </w:r>
                </w:p>
              </w:tc>
              <w:tc>
                <w:tcPr>
                  <w:tcW w:w="775"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52.4</w:t>
                  </w:r>
                </w:p>
              </w:tc>
              <w:tc>
                <w:tcPr>
                  <w:tcW w:w="775" w:type="dxa"/>
                  <w:gridSpan w:val="2"/>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42.5</w:t>
                  </w:r>
                </w:p>
              </w:tc>
              <w:tc>
                <w:tcPr>
                  <w:tcW w:w="775"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42.3</w:t>
                  </w:r>
                </w:p>
              </w:tc>
              <w:tc>
                <w:tcPr>
                  <w:tcW w:w="775" w:type="dxa"/>
                  <w:gridSpan w:val="2"/>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52.2</w:t>
                  </w:r>
                </w:p>
              </w:tc>
              <w:tc>
                <w:tcPr>
                  <w:tcW w:w="775"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52.1</w:t>
                  </w:r>
                </w:p>
              </w:tc>
              <w:tc>
                <w:tcPr>
                  <w:tcW w:w="775"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42.0</w:t>
                  </w:r>
                </w:p>
              </w:tc>
              <w:tc>
                <w:tcPr>
                  <w:tcW w:w="782" w:type="dxa"/>
                  <w:tcBorders>
                    <w:tl2br w:val="nil"/>
                    <w:tr2bl w:val="nil"/>
                  </w:tcBorders>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42.1</w:t>
                  </w:r>
                </w:p>
              </w:tc>
            </w:tr>
          </w:tbl>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验收监测期间，</w:t>
            </w:r>
            <w:r>
              <w:rPr>
                <w:rFonts w:hint="eastAsia" w:cs="Times New Roman"/>
                <w:color w:val="auto"/>
                <w:sz w:val="24"/>
                <w:szCs w:val="24"/>
                <w:highlight w:val="none"/>
                <w:lang w:val="en-US" w:eastAsia="zh-CN"/>
              </w:rPr>
              <w:t>二道河农场学校</w:t>
            </w:r>
            <w:r>
              <w:rPr>
                <w:rFonts w:hint="default" w:ascii="Times New Roman" w:hAnsi="Times New Roman" w:cs="Times New Roman"/>
                <w:color w:val="auto"/>
                <w:sz w:val="24"/>
                <w:szCs w:val="24"/>
                <w:highlight w:val="none"/>
                <w:lang w:val="en-US" w:eastAsia="zh-CN"/>
              </w:rPr>
              <w:t>昼间、夜间声环境质量均满足《声环境质量标准》（GB3096-2008）</w:t>
            </w:r>
            <w:r>
              <w:rPr>
                <w:rFonts w:hint="eastAsia"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类区标准。</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环保设施去除效率监测结果</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①光催化氧化+活性炭装置去除效率</w:t>
            </w:r>
          </w:p>
          <w:p>
            <w:pPr>
              <w:spacing w:line="360" w:lineRule="auto"/>
              <w:ind w:firstLine="480" w:firstLineChars="200"/>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由检测数据分析可知，</w:t>
            </w:r>
            <w:r>
              <w:rPr>
                <w:rFonts w:hint="eastAsia" w:cs="Times New Roman"/>
                <w:color w:val="auto"/>
                <w:sz w:val="24"/>
                <w:szCs w:val="24"/>
                <w:highlight w:val="none"/>
                <w:lang w:val="en-US" w:eastAsia="zh-CN"/>
              </w:rPr>
              <w:t>二道河农场污水处理厂预处理车间光催化氧化+活性炭装置NH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去除效率最低为57.14%；H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S去除效率最低为55.31%；CASS反应池及污泥脱水间车间光催化氧化+活性炭装置NH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去除效率最低为88.07%；H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S去除效率最低为89.06%。</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恶臭气体经处理后均满足</w:t>
            </w:r>
            <w:r>
              <w:rPr>
                <w:rFonts w:hint="default" w:ascii="Times New Roman" w:hAnsi="Times New Roman" w:eastAsia="宋体" w:cs="Times New Roman"/>
                <w:color w:val="auto"/>
                <w:kern w:val="0"/>
                <w:sz w:val="24"/>
                <w:szCs w:val="22"/>
                <w:highlight w:val="none"/>
                <w:lang w:val="en-US" w:eastAsia="zh-CN" w:bidi="ar-SA"/>
              </w:rPr>
              <w:t>《恶臭污染物排放标准》（GB14554-93）中二级要求</w:t>
            </w:r>
            <w:r>
              <w:rPr>
                <w:rFonts w:hint="eastAsia" w:cs="Times New Roman"/>
                <w:color w:val="auto"/>
                <w:kern w:val="0"/>
                <w:sz w:val="24"/>
                <w:szCs w:val="22"/>
                <w:highlight w:val="none"/>
                <w:lang w:val="en-US" w:eastAsia="zh-CN" w:bidi="ar-SA"/>
              </w:rPr>
              <w:t>。</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②污水处理设施去除效率监测结果</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由检测数据分析可知，</w:t>
            </w:r>
            <w:r>
              <w:rPr>
                <w:rFonts w:hint="eastAsia" w:cs="Times New Roman"/>
                <w:color w:val="auto"/>
                <w:sz w:val="24"/>
                <w:szCs w:val="24"/>
                <w:highlight w:val="none"/>
                <w:lang w:val="en-US" w:eastAsia="zh-CN"/>
              </w:rPr>
              <w:t>二道河农场污水处理厂污水处理设施色度去除效率最低为60.87%；动植物油去除效率最低为45.78%；BOD</w:t>
            </w:r>
            <w:r>
              <w:rPr>
                <w:rFonts w:hint="eastAsia" w:cs="Times New Roman"/>
                <w:color w:val="auto"/>
                <w:sz w:val="24"/>
                <w:szCs w:val="24"/>
                <w:highlight w:val="none"/>
                <w:vertAlign w:val="subscript"/>
                <w:lang w:val="en-US" w:eastAsia="zh-CN"/>
              </w:rPr>
              <w:t>5</w:t>
            </w:r>
            <w:r>
              <w:rPr>
                <w:rFonts w:hint="eastAsia" w:cs="Times New Roman"/>
                <w:color w:val="auto"/>
                <w:sz w:val="24"/>
                <w:szCs w:val="24"/>
                <w:highlight w:val="none"/>
                <w:lang w:val="en-US" w:eastAsia="zh-CN"/>
              </w:rPr>
              <w:t>去除效率最低为84.14%；COD去除效率最低为87.02%；氨氮去除效率最低为71.48%；总磷去除效率最低为75.64%；总氮去除效率最低为65.99%；悬浮物去除效率最低为81.13%；粪大肠菌群去除效率最低为97.00%。</w:t>
            </w:r>
            <w:r>
              <w:rPr>
                <w:rFonts w:hint="eastAsia" w:cs="Times New Roman"/>
                <w:color w:val="auto"/>
                <w:sz w:val="24"/>
                <w:szCs w:val="24"/>
                <w:highlight w:val="none"/>
                <w:lang w:val="zh-TW" w:eastAsia="zh-CN"/>
              </w:rPr>
              <w:t>二道河农场污水处理厂尾水各项指标均满足</w:t>
            </w:r>
            <w:r>
              <w:rPr>
                <w:rFonts w:hint="default" w:ascii="Times New Roman" w:hAnsi="Times New Roman" w:cs="Times New Roman"/>
                <w:color w:val="auto"/>
                <w:sz w:val="24"/>
                <w:szCs w:val="28"/>
                <w:highlight w:val="none"/>
              </w:rPr>
              <w:t>《城镇污水处理厂污染物排放标准》（GB18918-2002）一级B标准</w:t>
            </w:r>
            <w:r>
              <w:rPr>
                <w:rFonts w:hint="default" w:ascii="Times New Roman" w:hAnsi="Times New Roman" w:cs="Times New Roman"/>
                <w:color w:val="auto"/>
                <w:sz w:val="24"/>
                <w:szCs w:val="24"/>
                <w:highlight w:val="none"/>
                <w:lang w:val="en-US" w:eastAsia="zh-CN"/>
              </w:rPr>
              <w:t>。</w:t>
            </w:r>
          </w:p>
          <w:p>
            <w:pPr>
              <w:spacing w:line="360" w:lineRule="auto"/>
              <w:rPr>
                <w:rFonts w:hint="default" w:ascii="Times New Roman" w:hAnsi="Times New Roman" w:cs="Times New Roman"/>
                <w:color w:val="auto"/>
                <w:sz w:val="24"/>
                <w:szCs w:val="28"/>
                <w:highlight w:val="none"/>
              </w:rPr>
            </w:pPr>
          </w:p>
          <w:p>
            <w:pPr>
              <w:pStyle w:val="2"/>
              <w:rPr>
                <w:rFonts w:hint="default" w:ascii="Times New Roman" w:hAnsi="Times New Roman" w:cs="Times New Roman"/>
                <w:color w:val="auto"/>
                <w:sz w:val="24"/>
                <w:szCs w:val="28"/>
                <w:highlight w:val="none"/>
              </w:rPr>
            </w:pPr>
          </w:p>
          <w:p>
            <w:pPr>
              <w:spacing w:line="360" w:lineRule="auto"/>
              <w:rPr>
                <w:rFonts w:hint="default" w:ascii="Times New Roman" w:hAnsi="Times New Roman" w:cs="Times New Roman"/>
                <w:color w:val="auto"/>
                <w:highlight w:val="none"/>
              </w:rPr>
            </w:pPr>
          </w:p>
        </w:tc>
      </w:tr>
    </w:tbl>
    <w:p>
      <w:pPr>
        <w:pStyle w:val="6"/>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52" w:name="_Toc21227_WPSOffice_Level1"/>
      <w:bookmarkStart w:id="53" w:name="_Toc8950_WPSOffice_Level1"/>
      <w:bookmarkStart w:id="54" w:name="_Toc23518_WPSOffice_Level1"/>
      <w:bookmarkStart w:id="55" w:name="_Toc515715413"/>
      <w:r>
        <w:rPr>
          <w:rFonts w:hint="default" w:ascii="Times New Roman" w:hAnsi="Times New Roman" w:cs="Times New Roman"/>
          <w:b/>
          <w:color w:val="auto"/>
          <w:kern w:val="0"/>
          <w:sz w:val="30"/>
          <w:szCs w:val="22"/>
          <w:highlight w:val="none"/>
        </w:rPr>
        <w:t>表八 环境管理检测结果</w:t>
      </w:r>
      <w:bookmarkEnd w:id="52"/>
      <w:bookmarkEnd w:id="53"/>
      <w:bookmarkEnd w:id="54"/>
      <w:bookmarkEnd w:id="55"/>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56"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环保审批手续及“三同时”执行情况：</w:t>
            </w:r>
          </w:p>
          <w:p>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zh-TW" w:eastAsia="zh-CN"/>
              </w:rPr>
              <w:t>本项目自立项以来，按照《建设项目环境保护管理条例》和《中华人民共和国环境保护法》以及环境保护主管部门的要求和规定，前期进行了环境影响评价及环保设计，环保审批手续齐全；建设期间按环评及批复要求进行了环保设施的建设；试生产期间，按规定程序提出了竣工验收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6"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固体废物处置及综合利用检查：</w:t>
            </w:r>
          </w:p>
          <w:p>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zh-TW" w:eastAsia="zh-CN"/>
              </w:rPr>
              <w:t>本项目产生</w:t>
            </w:r>
            <w:r>
              <w:rPr>
                <w:rFonts w:hint="eastAsia" w:cs="Times New Roman"/>
                <w:color w:val="auto"/>
                <w:sz w:val="24"/>
                <w:szCs w:val="24"/>
                <w:highlight w:val="none"/>
                <w:lang w:val="zh-TW" w:eastAsia="zh-CN"/>
              </w:rPr>
              <w:t>的</w:t>
            </w:r>
            <w:r>
              <w:rPr>
                <w:rFonts w:hint="default" w:ascii="Times New Roman" w:hAnsi="Times New Roman" w:eastAsia="宋体" w:cs="Times New Roman"/>
                <w:color w:val="auto"/>
                <w:sz w:val="24"/>
                <w:szCs w:val="24"/>
                <w:highlight w:val="none"/>
                <w:lang w:val="zh-TW" w:eastAsia="zh-CN"/>
              </w:rPr>
              <w:t>污泥脱水达标后运送至</w:t>
            </w:r>
            <w:r>
              <w:rPr>
                <w:rFonts w:hint="eastAsia" w:ascii="Times New Roman" w:hAnsi="Times New Roman" w:eastAsia="宋体" w:cs="Times New Roman"/>
                <w:color w:val="auto"/>
                <w:sz w:val="24"/>
                <w:szCs w:val="24"/>
                <w:highlight w:val="none"/>
                <w:lang w:val="zh-TW" w:eastAsia="zh-CN"/>
              </w:rPr>
              <w:t>黑龙江省建三江农垦华能热力有限公司</w:t>
            </w:r>
            <w:r>
              <w:rPr>
                <w:rFonts w:hint="eastAsia" w:cs="Times New Roman"/>
                <w:color w:val="auto"/>
                <w:sz w:val="24"/>
                <w:szCs w:val="24"/>
                <w:highlight w:val="none"/>
                <w:lang w:val="zh-TW" w:eastAsia="zh-CN"/>
              </w:rPr>
              <w:t>焚烧处理</w:t>
            </w:r>
            <w:r>
              <w:rPr>
                <w:rFonts w:hint="default" w:ascii="Times New Roman" w:hAnsi="Times New Roman" w:eastAsia="宋体" w:cs="Times New Roman"/>
                <w:color w:val="auto"/>
                <w:sz w:val="24"/>
                <w:szCs w:val="24"/>
                <w:highlight w:val="none"/>
                <w:lang w:val="zh-TW" w:eastAsia="zh-CN"/>
              </w:rPr>
              <w:t>；员工生活垃圾集中收由环卫部门清运处置</w:t>
            </w:r>
            <w:r>
              <w:rPr>
                <w:rFonts w:hint="eastAsia" w:ascii="Times New Roman" w:hAnsi="Times New Roman" w:eastAsia="宋体" w:cs="Times New Roman"/>
                <w:color w:val="auto"/>
                <w:sz w:val="24"/>
                <w:szCs w:val="24"/>
                <w:highlight w:val="none"/>
                <w:lang w:val="zh-TW" w:eastAsia="zh-CN"/>
              </w:rPr>
              <w:t>；</w:t>
            </w:r>
            <w:r>
              <w:rPr>
                <w:rFonts w:hint="default" w:ascii="Times New Roman" w:hAnsi="Times New Roman" w:eastAsia="宋体" w:cs="Times New Roman"/>
                <w:color w:val="auto"/>
                <w:sz w:val="24"/>
                <w:szCs w:val="24"/>
                <w:highlight w:val="none"/>
                <w:lang w:val="zh-TW" w:eastAsia="zh-CN"/>
              </w:rPr>
              <w:t>实验室废液为危险废物，暂存于危险废物暂存间，定期交由</w:t>
            </w:r>
            <w:r>
              <w:rPr>
                <w:rFonts w:hint="eastAsia" w:cs="Times New Roman"/>
                <w:color w:val="auto"/>
                <w:sz w:val="24"/>
                <w:szCs w:val="24"/>
                <w:highlight w:val="none"/>
                <w:lang w:val="zh-TW" w:eastAsia="zh-CN"/>
              </w:rPr>
              <w:t>哈尔滨国环医疗固体废物无害化集中处置中心有限公司</w:t>
            </w:r>
            <w:r>
              <w:rPr>
                <w:rFonts w:hint="default" w:ascii="Times New Roman" w:hAnsi="Times New Roman" w:eastAsia="宋体" w:cs="Times New Roman"/>
                <w:color w:val="auto"/>
                <w:sz w:val="24"/>
                <w:szCs w:val="24"/>
                <w:highlight w:val="none"/>
                <w:lang w:val="zh-TW" w:eastAsia="zh-CN"/>
              </w:rPr>
              <w:t>处理</w:t>
            </w:r>
            <w:r>
              <w:rPr>
                <w:rFonts w:hint="eastAsia" w:ascii="Times New Roman" w:hAnsi="Times New Roman" w:eastAsia="宋体" w:cs="Times New Roman"/>
                <w:color w:val="auto"/>
                <w:sz w:val="24"/>
                <w:szCs w:val="24"/>
                <w:highlight w:val="none"/>
                <w:lang w:val="zh-TW" w:eastAsia="zh-CN"/>
              </w:rPr>
              <w:t>；</w:t>
            </w:r>
            <w:r>
              <w:rPr>
                <w:rFonts w:hint="default" w:ascii="Times New Roman" w:hAnsi="Times New Roman" w:eastAsia="宋体" w:cs="Times New Roman"/>
                <w:color w:val="auto"/>
                <w:sz w:val="24"/>
                <w:szCs w:val="24"/>
                <w:highlight w:val="none"/>
                <w:lang w:val="zh-TW" w:eastAsia="zh-CN"/>
              </w:rPr>
              <w:t>栅渣</w:t>
            </w:r>
            <w:r>
              <w:rPr>
                <w:rFonts w:hint="eastAsia" w:cs="Times New Roman"/>
                <w:color w:val="auto"/>
                <w:sz w:val="24"/>
                <w:szCs w:val="24"/>
                <w:highlight w:val="none"/>
                <w:lang w:val="zh-TW" w:eastAsia="zh-CN"/>
              </w:rPr>
              <w:t>和沉砂</w:t>
            </w:r>
            <w:r>
              <w:rPr>
                <w:rFonts w:hint="default" w:ascii="Times New Roman" w:hAnsi="Times New Roman" w:eastAsia="宋体" w:cs="Times New Roman"/>
                <w:color w:val="auto"/>
                <w:sz w:val="24"/>
                <w:szCs w:val="24"/>
                <w:highlight w:val="none"/>
                <w:lang w:val="zh-TW" w:eastAsia="zh-CN"/>
              </w:rPr>
              <w:t>由市政统一清运。</w:t>
            </w:r>
            <w:r>
              <w:rPr>
                <w:rFonts w:hint="default" w:ascii="Times New Roman" w:hAnsi="Times New Roman" w:eastAsia="宋体" w:cs="Times New Roman"/>
                <w:color w:val="auto"/>
                <w:sz w:val="24"/>
                <w:szCs w:val="24"/>
                <w:highlight w:val="none"/>
                <w:lang w:val="en-US" w:eastAsia="zh-CN"/>
              </w:rPr>
              <w:t>全部固体废物均得到妥善处置，未外随意排放，一般固体废物的处置满足</w:t>
            </w:r>
            <w:r>
              <w:rPr>
                <w:rFonts w:hint="default" w:ascii="Times New Roman" w:hAnsi="Times New Roman" w:eastAsia="宋体" w:cs="Times New Roman"/>
                <w:color w:val="auto"/>
                <w:sz w:val="24"/>
                <w:szCs w:val="24"/>
                <w:highlight w:val="none"/>
                <w:lang w:val="zh-TW" w:eastAsia="zh-CN"/>
              </w:rPr>
              <w:t>《一般工业固体废弃物贮存、处置场污染控制标准》（GB18599-2001）要求，危险废物的处置满足《危险废物贮存污染控制标准》（GB 18597-2001）要求，对外环境影响较小。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75"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环境风险防范与应急预案：</w:t>
            </w:r>
          </w:p>
          <w:p>
            <w:pPr>
              <w:spacing w:line="360" w:lineRule="auto"/>
              <w:ind w:firstLine="480" w:firstLineChars="200"/>
              <w:rPr>
                <w:rFonts w:hint="default" w:ascii="Times New Roman" w:hAnsi="Times New Roman" w:cs="Times New Roman"/>
                <w:color w:val="auto"/>
                <w:sz w:val="24"/>
                <w:szCs w:val="24"/>
                <w:highlight w:val="none"/>
              </w:rPr>
            </w:pPr>
            <w:r>
              <w:rPr>
                <w:rFonts w:hint="eastAsia" w:cs="Times New Roman"/>
                <w:color w:val="auto"/>
                <w:sz w:val="24"/>
                <w:szCs w:val="24"/>
                <w:highlight w:val="none"/>
                <w:lang w:val="zh-TW" w:eastAsia="zh-CN"/>
              </w:rPr>
              <w:t>二道河农场污水处理厂突发环境事件应急预案已编制完成并在黑龙江省环境保护厅垦区环境保护局备案。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监测手段及人员配置：</w:t>
            </w:r>
          </w:p>
          <w:p>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zh-TW" w:eastAsia="zh-CN"/>
              </w:rPr>
              <w:t>日常监测委托第三方检测公司进行监测。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86"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存在的问题：</w:t>
            </w:r>
          </w:p>
          <w:p>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lang w:val="zh-TW"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9" w:hRule="atLeast"/>
          <w:jc w:val="center"/>
        </w:trPr>
        <w:tc>
          <w:tcPr>
            <w:tcW w:w="8522" w:type="dxa"/>
            <w:vAlign w:val="top"/>
          </w:tcPr>
          <w:p>
            <w:pPr>
              <w:spacing w:line="360" w:lineRule="auto"/>
              <w:rPr>
                <w:rFonts w:hint="default" w:ascii="Times New Roman" w:hAnsi="Times New Roman" w:cs="Times New Roman"/>
                <w:b/>
                <w:bCs/>
                <w:color w:val="auto"/>
                <w:kern w:val="0"/>
                <w:sz w:val="24"/>
                <w:szCs w:val="24"/>
                <w:highlight w:val="none"/>
              </w:rPr>
            </w:pPr>
            <w:r>
              <w:rPr>
                <w:rFonts w:hint="default" w:ascii="Times New Roman" w:hAnsi="Times New Roman" w:eastAsia="宋体" w:cs="Times New Roman"/>
                <w:b/>
                <w:bCs/>
                <w:color w:val="auto"/>
                <w:sz w:val="24"/>
                <w:szCs w:val="24"/>
                <w:highlight w:val="none"/>
                <w:lang w:val="zh-TW" w:eastAsia="zh-CN"/>
              </w:rPr>
              <w:t>其他：</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rPr>
      </w:pPr>
      <w:bookmarkStart w:id="56" w:name="_Toc32057_WPSOffice_Level1"/>
      <w:bookmarkStart w:id="57" w:name="_Toc16237_WPSOffice_Level1"/>
      <w:bookmarkStart w:id="58" w:name="_Toc7360_WPSOffice_Level1"/>
      <w:bookmarkStart w:id="59" w:name="_Toc515715414"/>
      <w:r>
        <w:rPr>
          <w:rFonts w:hint="default" w:ascii="Times New Roman" w:hAnsi="Times New Roman" w:cs="Times New Roman"/>
          <w:b/>
          <w:color w:val="auto"/>
          <w:kern w:val="0"/>
          <w:sz w:val="30"/>
          <w:szCs w:val="22"/>
          <w:highlight w:val="none"/>
        </w:rPr>
        <w:t>表九 验收监测结论及建议</w:t>
      </w:r>
      <w:bookmarkEnd w:id="56"/>
      <w:bookmarkEnd w:id="57"/>
      <w:bookmarkEnd w:id="58"/>
      <w:bookmarkEnd w:id="59"/>
    </w:p>
    <w:tbl>
      <w:tblPr>
        <w:tblStyle w:val="11"/>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70" w:hRule="atLeast"/>
          <w:jc w:val="center"/>
        </w:trPr>
        <w:tc>
          <w:tcPr>
            <w:tcW w:w="8522" w:type="dxa"/>
            <w:vAlign w:val="top"/>
          </w:tcPr>
          <w:p>
            <w:pPr>
              <w:spacing w:line="360" w:lineRule="auto"/>
              <w:rPr>
                <w:rFonts w:hint="default" w:ascii="Times New Roman" w:hAnsi="Times New Roman" w:eastAsia="宋体" w:cs="Times New Roman"/>
                <w:b/>
                <w:bCs/>
                <w:color w:val="auto"/>
                <w:sz w:val="24"/>
                <w:szCs w:val="24"/>
                <w:highlight w:val="none"/>
                <w:lang w:val="zh-TW" w:eastAsia="zh-CN"/>
              </w:rPr>
            </w:pPr>
            <w:r>
              <w:rPr>
                <w:rFonts w:hint="default" w:ascii="Times New Roman" w:hAnsi="Times New Roman" w:eastAsia="宋体" w:cs="Times New Roman"/>
                <w:b/>
                <w:bCs/>
                <w:color w:val="auto"/>
                <w:sz w:val="24"/>
                <w:szCs w:val="24"/>
                <w:highlight w:val="none"/>
                <w:lang w:val="zh-TW" w:eastAsia="zh-CN"/>
              </w:rPr>
              <w:t>验收监测结论：</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1、项目概况</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eastAsia="zh-CN" w:bidi="ar-SA"/>
              </w:rPr>
              <w:t>本项目位于项目位于</w:t>
            </w:r>
            <w:r>
              <w:rPr>
                <w:rFonts w:hint="eastAsia" w:cs="Times New Roman"/>
                <w:color w:val="auto"/>
                <w:sz w:val="24"/>
                <w:szCs w:val="24"/>
                <w:highlight w:val="none"/>
                <w:lang w:eastAsia="zh-CN"/>
              </w:rPr>
              <w:t>黑龙江省二道河农场东北部规划区</w:t>
            </w:r>
            <w:r>
              <w:rPr>
                <w:rFonts w:hint="default" w:ascii="Times New Roman" w:hAnsi="Times New Roman" w:eastAsia="宋体" w:cs="Times New Roman"/>
                <w:color w:val="auto"/>
                <w:kern w:val="2"/>
                <w:sz w:val="24"/>
                <w:szCs w:val="24"/>
                <w:highlight w:val="none"/>
                <w:lang w:eastAsia="zh-CN" w:bidi="ar-SA"/>
              </w:rPr>
              <w:t>，</w:t>
            </w:r>
            <w:r>
              <w:rPr>
                <w:rFonts w:hint="eastAsia" w:ascii="Times New Roman" w:hAnsi="Times New Roman" w:cs="Times New Roman"/>
                <w:color w:val="auto"/>
                <w:sz w:val="24"/>
                <w:szCs w:val="24"/>
                <w:highlight w:val="none"/>
                <w:lang w:eastAsia="zh-CN"/>
              </w:rPr>
              <w:t>新建排水管线总长</w:t>
            </w:r>
            <w:r>
              <w:rPr>
                <w:rFonts w:hint="eastAsia" w:ascii="Times New Roman" w:hAnsi="Times New Roman" w:cs="Times New Roman"/>
                <w:color w:val="auto"/>
                <w:sz w:val="24"/>
                <w:szCs w:val="24"/>
                <w:highlight w:val="none"/>
                <w:lang w:val="en-US" w:eastAsia="zh-CN"/>
              </w:rPr>
              <w:t>10km。建设综合处理间（主要为预处理间、鼓风机房、配电间、污泥脱水间、</w:t>
            </w:r>
            <w:r>
              <w:rPr>
                <w:rFonts w:hint="eastAsia" w:cs="Times New Roman"/>
                <w:color w:val="auto"/>
                <w:sz w:val="24"/>
                <w:szCs w:val="24"/>
                <w:highlight w:val="none"/>
                <w:lang w:val="en-US" w:eastAsia="zh-CN"/>
              </w:rPr>
              <w:t>污泥储罐及紫外线消毒间、CASS反应池、化验室、办公室等</w:t>
            </w:r>
            <w:r>
              <w:rPr>
                <w:rFonts w:hint="eastAsia" w:ascii="Times New Roman" w:hAnsi="Times New Roman" w:cs="Times New Roman"/>
                <w:color w:val="auto"/>
                <w:sz w:val="24"/>
                <w:szCs w:val="24"/>
                <w:highlight w:val="none"/>
                <w:lang w:val="en-US" w:eastAsia="zh-CN"/>
              </w:rPr>
              <w:t>），占地面积</w:t>
            </w:r>
            <w:r>
              <w:rPr>
                <w:rFonts w:hint="eastAsia" w:cs="Times New Roman"/>
                <w:color w:val="auto"/>
                <w:sz w:val="24"/>
                <w:szCs w:val="24"/>
                <w:highlight w:val="none"/>
                <w:lang w:val="en-US" w:eastAsia="zh-CN"/>
              </w:rPr>
              <w:t>2613</w:t>
            </w:r>
            <w:r>
              <w:rPr>
                <w:rFonts w:hint="eastAsia" w:ascii="Times New Roman" w:hAnsi="Times New Roman" w:cs="Times New Roman"/>
                <w:color w:val="auto"/>
                <w:sz w:val="24"/>
                <w:szCs w:val="24"/>
                <w:highlight w:val="none"/>
                <w:lang w:val="en-US" w:eastAsia="zh-CN"/>
              </w:rPr>
              <w:t>m</w:t>
            </w:r>
            <w:r>
              <w:rPr>
                <w:rFonts w:hint="eastAsia"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lang w:val="en-US" w:eastAsia="zh-CN"/>
              </w:rPr>
              <w:t>。污水处理达到GB18918-2002一级B标准后排入农场东部护城河。</w:t>
            </w:r>
            <w:r>
              <w:rPr>
                <w:rFonts w:hint="eastAsia" w:ascii="Times New Roman" w:hAnsi="Times New Roman" w:cs="Times New Roman"/>
                <w:color w:val="auto"/>
                <w:sz w:val="24"/>
                <w:szCs w:val="24"/>
                <w:highlight w:val="none"/>
                <w:lang w:eastAsia="zh-CN"/>
              </w:rPr>
              <w:t>日处理污水</w:t>
            </w:r>
            <w:r>
              <w:rPr>
                <w:rFonts w:hint="eastAsia" w:cs="Times New Roman"/>
                <w:color w:val="auto"/>
                <w:sz w:val="24"/>
                <w:szCs w:val="24"/>
                <w:highlight w:val="none"/>
                <w:lang w:eastAsia="zh-CN"/>
              </w:rPr>
              <w:t>能力为</w:t>
            </w:r>
            <w:r>
              <w:rPr>
                <w:rFonts w:hint="eastAsia" w:ascii="Times New Roman" w:hAnsi="Times New Roman" w:cs="Times New Roman"/>
                <w:color w:val="auto"/>
                <w:sz w:val="24"/>
                <w:szCs w:val="24"/>
                <w:highlight w:val="none"/>
                <w:lang w:val="en-US" w:eastAsia="zh-CN"/>
              </w:rPr>
              <w:t>1500m</w:t>
            </w:r>
            <w:r>
              <w:rPr>
                <w:rFonts w:hint="eastAsia" w:ascii="Times New Roman" w:hAnsi="Times New Roman" w:cs="Times New Roman"/>
                <w:color w:val="auto"/>
                <w:sz w:val="24"/>
                <w:szCs w:val="24"/>
                <w:highlight w:val="none"/>
                <w:vertAlign w:val="superscript"/>
                <w:lang w:val="en-US" w:eastAsia="zh-CN"/>
              </w:rPr>
              <w:t>3</w:t>
            </w:r>
            <w:r>
              <w:rPr>
                <w:rFonts w:hint="default" w:ascii="Times New Roman" w:hAnsi="Times New Roman" w:cs="Times New Roman"/>
                <w:color w:val="auto"/>
                <w:sz w:val="24"/>
                <w:szCs w:val="24"/>
                <w:highlight w:val="none"/>
                <w:lang w:val="en-US" w:eastAsia="zh-CN"/>
              </w:rPr>
              <w:t>。</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2、污染防治措施</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废水</w:t>
            </w:r>
          </w:p>
          <w:p>
            <w:pPr>
              <w:spacing w:line="360" w:lineRule="auto"/>
              <w:ind w:firstLine="480" w:firstLineChars="200"/>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采用CASS处理工艺，</w:t>
            </w:r>
            <w:r>
              <w:rPr>
                <w:rFonts w:hint="eastAsia" w:cs="Times New Roman"/>
                <w:color w:val="auto"/>
                <w:sz w:val="24"/>
                <w:szCs w:val="24"/>
                <w:highlight w:val="none"/>
                <w:lang w:eastAsia="zh-CN"/>
              </w:rPr>
              <w:t>尾水满足</w:t>
            </w:r>
            <w:r>
              <w:rPr>
                <w:rFonts w:hint="default" w:ascii="Times New Roman" w:hAnsi="Times New Roman" w:cs="Times New Roman"/>
                <w:color w:val="auto"/>
                <w:sz w:val="24"/>
                <w:szCs w:val="24"/>
                <w:highlight w:val="none"/>
                <w:lang w:eastAsia="zh-CN"/>
              </w:rPr>
              <w:t>《城镇污水处理厂污染物排放标准》（GB18918-2002）一级B标准</w:t>
            </w:r>
            <w:r>
              <w:rPr>
                <w:rFonts w:hint="eastAsia"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排入农场东部护城河。</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2</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废气</w:t>
            </w:r>
          </w:p>
          <w:p>
            <w:pPr>
              <w:spacing w:line="360" w:lineRule="auto"/>
              <w:ind w:firstLine="480" w:firstLineChars="200"/>
              <w:rPr>
                <w:rFonts w:hint="default" w:ascii="Times New Roman" w:hAnsi="Times New Roman" w:cs="Times New Roman"/>
                <w:color w:val="auto"/>
                <w:sz w:val="24"/>
                <w:szCs w:val="24"/>
                <w:highlight w:val="none"/>
                <w:lang w:eastAsia="zh-CN"/>
              </w:rPr>
            </w:pPr>
            <w:r>
              <w:rPr>
                <w:rFonts w:hint="eastAsia" w:cs="Times New Roman"/>
                <w:color w:val="auto"/>
                <w:sz w:val="24"/>
                <w:szCs w:val="24"/>
                <w:highlight w:val="none"/>
                <w:lang w:eastAsia="zh-CN"/>
              </w:rPr>
              <w:t>在预处理间设置</w:t>
            </w:r>
            <w:r>
              <w:rPr>
                <w:rFonts w:hint="eastAsia" w:cs="Times New Roman"/>
                <w:color w:val="auto"/>
                <w:sz w:val="24"/>
                <w:szCs w:val="24"/>
                <w:highlight w:val="none"/>
                <w:lang w:val="en-US" w:eastAsia="zh-CN"/>
              </w:rPr>
              <w:t>1套</w:t>
            </w:r>
            <w:r>
              <w:rPr>
                <w:rFonts w:hint="eastAsia" w:cs="Times New Roman"/>
                <w:color w:val="auto"/>
                <w:sz w:val="24"/>
                <w:szCs w:val="24"/>
                <w:highlight w:val="none"/>
                <w:lang w:eastAsia="zh-CN"/>
              </w:rPr>
              <w:t>光催化氧化+活性炭除臭装置，恶臭气体经处理后由</w:t>
            </w:r>
            <w:r>
              <w:rPr>
                <w:rFonts w:hint="eastAsia" w:cs="Times New Roman"/>
                <w:color w:val="auto"/>
                <w:sz w:val="24"/>
                <w:szCs w:val="24"/>
                <w:highlight w:val="none"/>
                <w:lang w:val="en-US" w:eastAsia="zh-CN"/>
              </w:rPr>
              <w:t>15.6m高排气筒排放</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CASS反应池、污泥脱水间分别</w:t>
            </w:r>
            <w:r>
              <w:rPr>
                <w:rFonts w:hint="eastAsia" w:cs="Times New Roman"/>
                <w:color w:val="auto"/>
                <w:sz w:val="24"/>
                <w:szCs w:val="24"/>
                <w:highlight w:val="none"/>
                <w:lang w:eastAsia="zh-CN"/>
              </w:rPr>
              <w:t>设置</w:t>
            </w:r>
            <w:r>
              <w:rPr>
                <w:rFonts w:hint="eastAsia" w:cs="Times New Roman"/>
                <w:color w:val="auto"/>
                <w:sz w:val="24"/>
                <w:szCs w:val="24"/>
                <w:highlight w:val="none"/>
                <w:lang w:val="en-US" w:eastAsia="zh-CN"/>
              </w:rPr>
              <w:t>1套</w:t>
            </w:r>
            <w:r>
              <w:rPr>
                <w:rFonts w:hint="eastAsia" w:cs="Times New Roman"/>
                <w:color w:val="auto"/>
                <w:sz w:val="24"/>
                <w:szCs w:val="24"/>
                <w:highlight w:val="none"/>
                <w:lang w:eastAsia="zh-CN"/>
              </w:rPr>
              <w:t>光催化氧化+活性炭除臭装置，恶臭气体经处理后由</w:t>
            </w:r>
            <w:r>
              <w:rPr>
                <w:rFonts w:hint="eastAsia" w:cs="Times New Roman"/>
                <w:color w:val="auto"/>
                <w:sz w:val="24"/>
                <w:szCs w:val="24"/>
                <w:highlight w:val="none"/>
                <w:lang w:val="en-US" w:eastAsia="zh-CN"/>
              </w:rPr>
              <w:t>15.6m高排气筒排放。</w:t>
            </w:r>
            <w:r>
              <w:rPr>
                <w:rFonts w:hint="default" w:ascii="Times New Roman" w:hAnsi="Times New Roman" w:cs="Times New Roman"/>
                <w:color w:val="auto"/>
                <w:sz w:val="24"/>
                <w:szCs w:val="24"/>
                <w:highlight w:val="none"/>
                <w:lang w:eastAsia="zh-CN"/>
              </w:rPr>
              <w:t>恶臭气体执行《恶臭污染物排放标准》（GB14554-93）15m高排气筒中二级排放速率限值；无组织排放的恶臭气体执行《城镇污水处理厂污染物排放标准》（GB18918-2002）排放限值要求</w:t>
            </w:r>
            <w:r>
              <w:rPr>
                <w:rFonts w:hint="eastAsia" w:cs="Times New Roman"/>
                <w:color w:val="auto"/>
                <w:sz w:val="24"/>
                <w:szCs w:val="24"/>
                <w:highlight w:val="none"/>
                <w:lang w:eastAsia="zh-CN"/>
              </w:rPr>
              <w:t>。</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3</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噪声</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项目主要产噪设备主要为各类风机、水泵。</w:t>
            </w:r>
            <w:r>
              <w:rPr>
                <w:rFonts w:hint="default" w:ascii="Times New Roman" w:hAnsi="Times New Roman" w:eastAsia="宋体" w:cs="Times New Roman"/>
                <w:color w:val="auto"/>
                <w:sz w:val="24"/>
                <w:szCs w:val="24"/>
                <w:highlight w:val="none"/>
                <w:lang w:eastAsia="zh-CN"/>
              </w:rPr>
              <w:t>本项目选取的均为低噪声设备，鼓风机3台，分别设置入口消音器及出口消音器共6个；污泥回流泵3台、剩余污泥泵3台、污水泵2台、潜水排污泵4台均设置减震基座；水泵等高噪声设备设置减震基座、风机设置消声器。在水厂周围及厂区加强绿化，降低噪声、减少噪声的传播</w:t>
            </w:r>
            <w:r>
              <w:rPr>
                <w:rFonts w:hint="eastAsia" w:cs="Times New Roman"/>
                <w:color w:val="auto"/>
                <w:sz w:val="24"/>
                <w:szCs w:val="24"/>
                <w:highlight w:val="none"/>
                <w:lang w:eastAsia="zh-CN"/>
              </w:rPr>
              <w:t>。</w:t>
            </w:r>
            <w:r>
              <w:rPr>
                <w:rFonts w:hint="default" w:ascii="Times New Roman" w:hAnsi="Times New Roman" w:cs="Times New Roman"/>
                <w:color w:val="auto"/>
                <w:sz w:val="24"/>
                <w:szCs w:val="28"/>
                <w:highlight w:val="none"/>
              </w:rPr>
              <w:t>运营期厂界噪声执行《工业企业厂界环境噪声排放标准》（GB12348-2008）中</w:t>
            </w:r>
            <w:r>
              <w:rPr>
                <w:rFonts w:hint="eastAsia" w:ascii="Times New Roman" w:hAnsi="Times New Roman" w:cs="Times New Roman"/>
                <w:color w:val="auto"/>
                <w:sz w:val="24"/>
                <w:szCs w:val="28"/>
                <w:highlight w:val="none"/>
                <w:lang w:val="en-US" w:eastAsia="zh-CN"/>
              </w:rPr>
              <w:t>2</w:t>
            </w:r>
            <w:r>
              <w:rPr>
                <w:rFonts w:hint="default" w:ascii="Times New Roman" w:hAnsi="Times New Roman" w:cs="Times New Roman"/>
                <w:color w:val="auto"/>
                <w:sz w:val="24"/>
                <w:szCs w:val="28"/>
                <w:highlight w:val="none"/>
              </w:rPr>
              <w:t>类区标准</w:t>
            </w:r>
            <w:r>
              <w:rPr>
                <w:rFonts w:hint="eastAsia" w:cs="Times New Roman"/>
                <w:color w:val="auto"/>
                <w:sz w:val="24"/>
                <w:szCs w:val="28"/>
                <w:highlight w:val="none"/>
                <w:lang w:eastAsia="zh-CN"/>
              </w:rPr>
              <w:t>。</w:t>
            </w:r>
          </w:p>
          <w:p>
            <w:pPr>
              <w:spacing w:line="360" w:lineRule="auto"/>
              <w:ind w:firstLine="480" w:firstLineChars="20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4</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固体废物</w:t>
            </w:r>
          </w:p>
          <w:p>
            <w:pPr>
              <w:spacing w:line="360" w:lineRule="auto"/>
              <w:ind w:firstLine="480" w:firstLineChars="200"/>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生活垃圾设置垃圾箱统一收集，和栅渣、沉砂一起由市政统一清运；污泥脱水达标后运送至</w:t>
            </w:r>
            <w:r>
              <w:rPr>
                <w:rFonts w:hint="eastAsia" w:cs="Times New Roman"/>
                <w:color w:val="auto"/>
                <w:sz w:val="24"/>
                <w:szCs w:val="28"/>
                <w:highlight w:val="none"/>
                <w:lang w:eastAsia="zh-CN"/>
              </w:rPr>
              <w:t>黑龙江省建三江农垦华能热力有限公司焚烧处理</w:t>
            </w:r>
            <w:r>
              <w:rPr>
                <w:rFonts w:hint="default" w:ascii="Times New Roman" w:hAnsi="Times New Roman" w:cs="Times New Roman"/>
                <w:color w:val="auto"/>
                <w:sz w:val="24"/>
                <w:szCs w:val="28"/>
                <w:highlight w:val="none"/>
              </w:rPr>
              <w:t>；</w:t>
            </w:r>
            <w:r>
              <w:rPr>
                <w:rFonts w:hint="eastAsia" w:cs="Times New Roman"/>
                <w:color w:val="auto"/>
                <w:sz w:val="24"/>
                <w:szCs w:val="28"/>
                <w:highlight w:val="none"/>
                <w:lang w:eastAsia="zh-CN"/>
              </w:rPr>
              <w:t>实验室废液交由哈尔滨国环医疗固体废物无害化集中处置中心有限公司处理</w:t>
            </w:r>
            <w:r>
              <w:rPr>
                <w:rFonts w:hint="default" w:ascii="Times New Roman" w:hAnsi="Times New Roman" w:cs="Times New Roman"/>
                <w:color w:val="auto"/>
                <w:sz w:val="24"/>
                <w:szCs w:val="28"/>
                <w:highlight w:val="none"/>
              </w:rPr>
              <w:t>。</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3、验收监测结论</w:t>
            </w:r>
          </w:p>
          <w:p>
            <w:pPr>
              <w:spacing w:line="360" w:lineRule="auto"/>
              <w:ind w:firstLine="480" w:firstLineChars="200"/>
              <w:rPr>
                <w:rFonts w:hint="default" w:ascii="Times New Roman" w:hAnsi="Times New Roman" w:cs="Times New Roman"/>
                <w:color w:val="auto"/>
                <w:sz w:val="24"/>
                <w:szCs w:val="24"/>
                <w:highlight w:val="none"/>
                <w:lang w:val="zh-TW" w:eastAsia="zh-CN"/>
              </w:rPr>
            </w:pPr>
            <w:r>
              <w:rPr>
                <w:rFonts w:hint="default" w:ascii="Times New Roman" w:hAnsi="Times New Roman" w:cs="Times New Roman"/>
                <w:color w:val="auto"/>
                <w:sz w:val="24"/>
                <w:szCs w:val="24"/>
                <w:highlight w:val="none"/>
                <w:lang w:val="zh-TW" w:eastAsia="zh-CN"/>
              </w:rPr>
              <w:t>（</w:t>
            </w:r>
            <w:r>
              <w:rPr>
                <w:rFonts w:hint="default"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zh-TW" w:eastAsia="zh-CN"/>
              </w:rPr>
              <w:t>）验收监测期间，</w:t>
            </w:r>
            <w:r>
              <w:rPr>
                <w:rFonts w:hint="eastAsia" w:cs="Times New Roman"/>
                <w:color w:val="auto"/>
                <w:sz w:val="24"/>
                <w:szCs w:val="24"/>
                <w:highlight w:val="none"/>
                <w:lang w:val="zh-TW" w:eastAsia="zh-CN"/>
              </w:rPr>
              <w:t>光催化氧化+活性炭</w:t>
            </w:r>
            <w:r>
              <w:rPr>
                <w:rFonts w:hint="default" w:ascii="Times New Roman" w:hAnsi="Times New Roman" w:cs="Times New Roman"/>
                <w:color w:val="auto"/>
                <w:sz w:val="24"/>
                <w:szCs w:val="24"/>
                <w:highlight w:val="none"/>
                <w:lang w:val="zh-TW" w:eastAsia="zh-CN"/>
              </w:rPr>
              <w:t>置前、后</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zh-TW" w:eastAsia="zh-CN"/>
              </w:rPr>
              <w:t>排放速率均满足</w:t>
            </w:r>
            <w:r>
              <w:rPr>
                <w:rFonts w:hint="default" w:ascii="Times New Roman" w:hAnsi="Times New Roman" w:cs="Times New Roman"/>
                <w:color w:val="auto"/>
                <w:sz w:val="24"/>
                <w:szCs w:val="24"/>
                <w:highlight w:val="none"/>
                <w:lang w:eastAsia="zh-CN"/>
              </w:rPr>
              <w:t>《恶臭污染物排放标准》（GB14554-93）15m高排气筒中二级排放速率限值</w:t>
            </w:r>
            <w:r>
              <w:rPr>
                <w:rFonts w:hint="default" w:ascii="Times New Roman" w:hAnsi="Times New Roman" w:cs="Times New Roman"/>
                <w:color w:val="auto"/>
                <w:sz w:val="24"/>
                <w:szCs w:val="24"/>
                <w:highlight w:val="none"/>
                <w:lang w:val="zh-TW" w:eastAsia="zh-CN"/>
              </w:rPr>
              <w:t>（</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4.9</w:t>
            </w:r>
            <w:r>
              <w:rPr>
                <w:rFonts w:hint="default" w:ascii="Times New Roman" w:hAnsi="Times New Roman" w:cs="Times New Roman"/>
                <w:color w:val="auto"/>
                <w:sz w:val="24"/>
                <w:szCs w:val="24"/>
                <w:highlight w:val="none"/>
                <w:lang w:val="en-US" w:eastAsia="zh-CN"/>
              </w:rPr>
              <w:t>kg/h、</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0.33</w:t>
            </w:r>
            <w:r>
              <w:rPr>
                <w:rFonts w:hint="default" w:ascii="Times New Roman" w:hAnsi="Times New Roman" w:cs="Times New Roman"/>
                <w:color w:val="auto"/>
                <w:sz w:val="24"/>
                <w:szCs w:val="24"/>
                <w:highlight w:val="none"/>
                <w:lang w:val="en-US" w:eastAsia="zh-CN"/>
              </w:rPr>
              <w:t>kg/h</w:t>
            </w:r>
            <w:r>
              <w:rPr>
                <w:rFonts w:hint="eastAsia" w:cs="Times New Roman"/>
                <w:color w:val="auto"/>
                <w:sz w:val="24"/>
                <w:szCs w:val="24"/>
                <w:highlight w:val="none"/>
                <w:lang w:val="en-US" w:eastAsia="zh-CN"/>
              </w:rPr>
              <w:t>、臭气浓度：2000无量纲</w:t>
            </w:r>
            <w:r>
              <w:rPr>
                <w:rFonts w:hint="default" w:ascii="Times New Roman" w:hAnsi="Times New Roman" w:cs="Times New Roman"/>
                <w:color w:val="auto"/>
                <w:sz w:val="24"/>
                <w:szCs w:val="24"/>
                <w:highlight w:val="none"/>
                <w:lang w:val="zh-TW" w:eastAsia="zh-CN"/>
              </w:rPr>
              <w:t>）。</w:t>
            </w:r>
          </w:p>
          <w:p>
            <w:pPr>
              <w:spacing w:line="360" w:lineRule="auto"/>
              <w:ind w:firstLine="480" w:firstLineChars="200"/>
              <w:rPr>
                <w:rFonts w:hint="default" w:ascii="Times New Roman" w:hAnsi="Times New Roman"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（2）</w:t>
            </w:r>
            <w:r>
              <w:rPr>
                <w:rFonts w:hint="default" w:ascii="Times New Roman" w:hAnsi="Times New Roman" w:cs="Times New Roman"/>
                <w:color w:val="auto"/>
                <w:sz w:val="24"/>
                <w:szCs w:val="24"/>
                <w:highlight w:val="none"/>
                <w:lang w:val="zh-TW" w:eastAsia="zh-CN"/>
              </w:rPr>
              <w:t>验收监测期间，本项目厂界上风向一个点、下风向</w:t>
            </w:r>
            <w:r>
              <w:rPr>
                <w:rFonts w:hint="default" w:ascii="Times New Roman" w:hAnsi="Times New Roman" w:cs="Times New Roman"/>
                <w:color w:val="auto"/>
                <w:sz w:val="24"/>
                <w:szCs w:val="24"/>
                <w:highlight w:val="none"/>
                <w:lang w:val="en-US" w:eastAsia="zh-CN"/>
              </w:rPr>
              <w:t>3个点</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en-US" w:eastAsia="zh-CN"/>
              </w:rPr>
              <w:t>监测结果均满足</w:t>
            </w:r>
            <w:r>
              <w:rPr>
                <w:rFonts w:hint="default" w:ascii="Times New Roman" w:hAnsi="Times New Roman" w:eastAsia="宋体" w:cs="Times New Roman"/>
                <w:color w:val="auto"/>
                <w:kern w:val="0"/>
                <w:sz w:val="24"/>
                <w:szCs w:val="22"/>
                <w:highlight w:val="none"/>
                <w:lang w:val="en-US" w:eastAsia="zh-CN" w:bidi="ar-SA"/>
              </w:rPr>
              <w:t>《恶臭污染物排放标准》（GB14554-93）中二级要求</w:t>
            </w:r>
            <w:r>
              <w:rPr>
                <w:rFonts w:hint="default" w:ascii="Times New Roman" w:hAnsi="Times New Roman" w:cs="Times New Roman"/>
                <w:color w:val="auto"/>
                <w:sz w:val="24"/>
                <w:szCs w:val="24"/>
                <w:highlight w:val="none"/>
                <w:lang w:val="zh-TW" w:eastAsia="zh-CN"/>
              </w:rPr>
              <w:t>周界外浓度最高点限值（</w:t>
            </w:r>
            <w:r>
              <w:rPr>
                <w:rFonts w:hint="eastAsia" w:cs="Times New Roman"/>
                <w:color w:val="auto"/>
                <w:sz w:val="24"/>
                <w:szCs w:val="24"/>
                <w:highlight w:val="none"/>
                <w:lang w:val="en-US" w:eastAsia="zh-CN"/>
              </w:rPr>
              <w:t>NH</w:t>
            </w:r>
            <w:r>
              <w:rPr>
                <w:rFonts w:hint="eastAsia"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zh-TW" w:eastAsia="zh-CN"/>
              </w:rPr>
              <w:t>：</w:t>
            </w:r>
            <w:r>
              <w:rPr>
                <w:rFonts w:hint="eastAsia" w:cs="Times New Roman"/>
                <w:color w:val="auto"/>
                <w:sz w:val="24"/>
                <w:szCs w:val="24"/>
                <w:highlight w:val="none"/>
                <w:lang w:val="en-US" w:eastAsia="zh-CN"/>
              </w:rPr>
              <w:t>1.5</w:t>
            </w:r>
            <w:r>
              <w:rPr>
                <w:rFonts w:hint="default" w:ascii="Times New Roman" w:hAnsi="Times New Roman" w:cs="Times New Roman"/>
                <w:color w:val="auto"/>
                <w:sz w:val="24"/>
                <w:szCs w:val="24"/>
                <w:highlight w:val="none"/>
                <w:lang w:val="en-US" w:eastAsia="zh-CN"/>
              </w:rPr>
              <w:t>mg/m</w:t>
            </w:r>
            <w:r>
              <w:rPr>
                <w:rFonts w:hint="default" w:ascii="Times New Roman" w:hAnsi="Times New Roman"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、H</w:t>
            </w:r>
            <w:r>
              <w:rPr>
                <w:rFonts w:hint="eastAsia" w:cs="Times New Roman"/>
                <w:color w:val="auto"/>
                <w:sz w:val="24"/>
                <w:szCs w:val="24"/>
                <w:highlight w:val="none"/>
                <w:vertAlign w:val="subscript"/>
                <w:lang w:val="en-US" w:eastAsia="zh-CN"/>
              </w:rPr>
              <w:t>2</w:t>
            </w:r>
            <w:r>
              <w:rPr>
                <w:rFonts w:hint="eastAsia" w:cs="Times New Roman"/>
                <w:color w:val="auto"/>
                <w:sz w:val="24"/>
                <w:szCs w:val="24"/>
                <w:highlight w:val="none"/>
                <w:lang w:val="en-US" w:eastAsia="zh-CN"/>
              </w:rPr>
              <w:t>S：0.06</w:t>
            </w:r>
            <w:r>
              <w:rPr>
                <w:rFonts w:hint="default" w:ascii="Times New Roman" w:hAnsi="Times New Roman" w:cs="Times New Roman"/>
                <w:color w:val="auto"/>
                <w:sz w:val="24"/>
                <w:szCs w:val="24"/>
                <w:highlight w:val="none"/>
                <w:lang w:val="en-US" w:eastAsia="zh-CN"/>
              </w:rPr>
              <w:t>mg/m</w:t>
            </w:r>
            <w:r>
              <w:rPr>
                <w:rFonts w:hint="default" w:ascii="Times New Roman" w:hAnsi="Times New Roman"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、臭气浓度：20无量纲</w:t>
            </w:r>
            <w:r>
              <w:rPr>
                <w:rFonts w:hint="default" w:ascii="Times New Roman" w:hAnsi="Times New Roman" w:cs="Times New Roman"/>
                <w:color w:val="auto"/>
                <w:sz w:val="24"/>
                <w:szCs w:val="24"/>
                <w:highlight w:val="none"/>
                <w:lang w:val="zh-TW" w:eastAsia="zh-CN"/>
              </w:rPr>
              <w:t>）</w:t>
            </w:r>
            <w:r>
              <w:rPr>
                <w:rFonts w:hint="eastAsia" w:cs="Times New Roman"/>
                <w:color w:val="auto"/>
                <w:sz w:val="24"/>
                <w:szCs w:val="24"/>
                <w:highlight w:val="none"/>
                <w:lang w:val="zh-TW" w:eastAsia="zh-CN"/>
              </w:rPr>
              <w:t>。</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zh-TW" w:eastAsia="zh-CN"/>
              </w:rPr>
              <w:t>（</w:t>
            </w:r>
            <w:r>
              <w:rPr>
                <w:rFonts w:hint="default" w:ascii="Times New Roman" w:hAnsi="Times New Roman"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zh-TW" w:eastAsia="zh-CN"/>
              </w:rPr>
              <w:t>）验收监测期间，</w:t>
            </w:r>
            <w:r>
              <w:rPr>
                <w:rFonts w:hint="eastAsia" w:cs="Times New Roman"/>
                <w:color w:val="auto"/>
                <w:sz w:val="24"/>
                <w:szCs w:val="24"/>
                <w:highlight w:val="none"/>
                <w:lang w:val="zh-TW" w:eastAsia="zh-CN"/>
              </w:rPr>
              <w:t>二道河农场污水处理厂尾水各项指标均满足</w:t>
            </w:r>
            <w:r>
              <w:rPr>
                <w:rFonts w:hint="default" w:ascii="Times New Roman" w:hAnsi="Times New Roman" w:cs="Times New Roman"/>
                <w:color w:val="auto"/>
                <w:sz w:val="24"/>
                <w:szCs w:val="28"/>
                <w:highlight w:val="none"/>
              </w:rPr>
              <w:t>《城镇污水处理厂污染物排放标准》（GB18918-2002）一级B标准</w:t>
            </w:r>
            <w:r>
              <w:rPr>
                <w:rFonts w:hint="default" w:ascii="Times New Roman" w:hAnsi="Times New Roman" w:cs="Times New Roman"/>
                <w:color w:val="auto"/>
                <w:sz w:val="24"/>
                <w:szCs w:val="24"/>
                <w:highlight w:val="none"/>
                <w:lang w:val="en-US" w:eastAsia="zh-CN"/>
              </w:rPr>
              <w:t>。</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（4）验收监测期间，厂界昼间噪声监测值在</w:t>
            </w:r>
            <w:r>
              <w:rPr>
                <w:rFonts w:hint="eastAsia" w:cs="Times New Roman"/>
                <w:color w:val="auto"/>
                <w:sz w:val="24"/>
                <w:szCs w:val="24"/>
                <w:highlight w:val="none"/>
                <w:lang w:val="en-US" w:eastAsia="zh-CN"/>
              </w:rPr>
              <w:t>50.1</w:t>
            </w:r>
            <w:r>
              <w:rPr>
                <w:rFonts w:hint="default" w:ascii="Times New Roman" w:hAnsi="Times New Roman" w:cs="Times New Roman"/>
                <w:color w:val="auto"/>
                <w:sz w:val="24"/>
                <w:szCs w:val="24"/>
                <w:highlight w:val="none"/>
                <w:lang w:val="en-US" w:eastAsia="zh-CN"/>
              </w:rPr>
              <w:t>～5</w:t>
            </w:r>
            <w:r>
              <w:rPr>
                <w:rFonts w:hint="eastAsia" w:cs="Times New Roman"/>
                <w:color w:val="auto"/>
                <w:sz w:val="24"/>
                <w:szCs w:val="24"/>
                <w:highlight w:val="none"/>
                <w:lang w:val="en-US" w:eastAsia="zh-CN"/>
              </w:rPr>
              <w:t>3</w:t>
            </w:r>
            <w:r>
              <w:rPr>
                <w:rFonts w:hint="default" w:ascii="Times New Roman" w:hAnsi="Times New Roman" w:cs="Times New Roman"/>
                <w:color w:val="auto"/>
                <w:sz w:val="24"/>
                <w:szCs w:val="24"/>
                <w:highlight w:val="none"/>
                <w:lang w:val="en-US" w:eastAsia="zh-CN"/>
              </w:rPr>
              <w:t>.6dB（A）之间、夜间噪声监测值在</w:t>
            </w:r>
            <w:r>
              <w:rPr>
                <w:rFonts w:hint="eastAsia" w:cs="Times New Roman"/>
                <w:color w:val="auto"/>
                <w:sz w:val="24"/>
                <w:szCs w:val="24"/>
                <w:highlight w:val="none"/>
                <w:lang w:val="en-US" w:eastAsia="zh-CN"/>
              </w:rPr>
              <w:t>40.1</w:t>
            </w:r>
            <w:r>
              <w:rPr>
                <w:rFonts w:hint="default" w:ascii="Times New Roman" w:hAnsi="Times New Roman" w:cs="Times New Roman"/>
                <w:color w:val="auto"/>
                <w:sz w:val="24"/>
                <w:szCs w:val="24"/>
                <w:highlight w:val="none"/>
                <w:lang w:val="en-US" w:eastAsia="zh-CN"/>
              </w:rPr>
              <w:t>～43.</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lang w:val="en-US" w:eastAsia="zh-CN"/>
              </w:rPr>
              <w:t>dB（A）之间，以上监测结果均符合《工业企业厂界环境噪声排放标准》（GB12348-2008）中的</w:t>
            </w:r>
            <w:r>
              <w:rPr>
                <w:rFonts w:hint="eastAsia"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类标准要求。</w:t>
            </w:r>
          </w:p>
          <w:p>
            <w:pPr>
              <w:widowControl w:val="0"/>
              <w:wordWrap/>
              <w:adjustRightInd/>
              <w:snapToGrid/>
              <w:spacing w:line="360" w:lineRule="auto"/>
              <w:ind w:firstLine="480" w:firstLineChars="200"/>
              <w:textAlignment w:val="auto"/>
              <w:outlineLvl w:val="9"/>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（5）验收监测期间，</w:t>
            </w:r>
            <w:r>
              <w:rPr>
                <w:rFonts w:hint="eastAsia" w:cs="Times New Roman"/>
                <w:color w:val="auto"/>
                <w:sz w:val="24"/>
                <w:szCs w:val="24"/>
                <w:highlight w:val="none"/>
                <w:lang w:val="en-US" w:eastAsia="zh-CN"/>
              </w:rPr>
              <w:t>二道河农场</w:t>
            </w:r>
            <w:r>
              <w:rPr>
                <w:rFonts w:hint="default" w:ascii="Times New Roman" w:hAnsi="Times New Roman" w:cs="Times New Roman"/>
                <w:color w:val="auto"/>
                <w:sz w:val="24"/>
                <w:szCs w:val="24"/>
                <w:highlight w:val="none"/>
                <w:lang w:val="en-US" w:eastAsia="zh-CN"/>
              </w:rPr>
              <w:t>学校NH</w:t>
            </w:r>
            <w:r>
              <w:rPr>
                <w:rFonts w:hint="default" w:ascii="Times New Roman" w:hAnsi="Times New Roman" w:cs="Times New Roman"/>
                <w:color w:val="auto"/>
                <w:sz w:val="24"/>
                <w:szCs w:val="24"/>
                <w:highlight w:val="none"/>
                <w:vertAlign w:val="subscript"/>
                <w:lang w:val="en-US" w:eastAsia="zh-CN"/>
              </w:rPr>
              <w:t>3</w:t>
            </w:r>
            <w:r>
              <w:rPr>
                <w:rFonts w:hint="default" w:ascii="Times New Roman" w:hAnsi="Times New Roman"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H</w:t>
            </w:r>
            <w:r>
              <w:rPr>
                <w:rFonts w:hint="default" w:ascii="Times New Roman" w:hAnsi="Times New Roman" w:eastAsia="宋体" w:cs="Times New Roman"/>
                <w:color w:val="auto"/>
                <w:sz w:val="24"/>
                <w:szCs w:val="24"/>
                <w:highlight w:val="none"/>
                <w:vertAlign w:val="subscript"/>
                <w:lang w:val="en-US" w:eastAsia="zh-CN"/>
              </w:rPr>
              <w:t>2</w:t>
            </w:r>
            <w:r>
              <w:rPr>
                <w:rFonts w:hint="default" w:ascii="Times New Roman" w:hAnsi="Times New Roman" w:eastAsia="宋体" w:cs="Times New Roman"/>
                <w:color w:val="auto"/>
                <w:sz w:val="24"/>
                <w:szCs w:val="24"/>
                <w:highlight w:val="none"/>
                <w:lang w:val="en-US" w:eastAsia="zh-CN"/>
              </w:rPr>
              <w:t>S、臭气浓度</w:t>
            </w:r>
            <w:r>
              <w:rPr>
                <w:rFonts w:hint="default" w:ascii="Times New Roman" w:hAnsi="Times New Roman" w:cs="Times New Roman"/>
                <w:color w:val="auto"/>
                <w:sz w:val="24"/>
                <w:szCs w:val="24"/>
                <w:highlight w:val="none"/>
                <w:lang w:val="en-US" w:eastAsia="zh-CN"/>
              </w:rPr>
              <w:t>均满足</w:t>
            </w:r>
            <w:r>
              <w:rPr>
                <w:rFonts w:hint="default" w:ascii="Times New Roman" w:hAnsi="Times New Roman" w:cs="Times New Roman"/>
                <w:color w:val="auto"/>
                <w:sz w:val="24"/>
                <w:szCs w:val="24"/>
                <w:highlight w:val="none"/>
              </w:rPr>
              <w:t>《工业企业设计卫生标准》（TJ36-79）表1居住区大气中有害物质的最高容许浓度。</w:t>
            </w:r>
          </w:p>
          <w:p>
            <w:pPr>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（6）验收监测期间，</w:t>
            </w:r>
            <w:r>
              <w:rPr>
                <w:rFonts w:hint="eastAsia" w:cs="Times New Roman"/>
                <w:color w:val="auto"/>
                <w:sz w:val="24"/>
                <w:szCs w:val="24"/>
                <w:highlight w:val="none"/>
                <w:lang w:val="en-US" w:eastAsia="zh-CN"/>
              </w:rPr>
              <w:t>二道河农场学校</w:t>
            </w:r>
            <w:r>
              <w:rPr>
                <w:rFonts w:hint="default" w:ascii="Times New Roman" w:hAnsi="Times New Roman" w:cs="Times New Roman"/>
                <w:color w:val="auto"/>
                <w:sz w:val="24"/>
                <w:szCs w:val="24"/>
                <w:highlight w:val="none"/>
                <w:lang w:val="en-US" w:eastAsia="zh-CN"/>
              </w:rPr>
              <w:t>昼间、夜间声环境质量均满足《声环境质量标准》（GB3096-2008）</w:t>
            </w:r>
            <w:r>
              <w:rPr>
                <w:rFonts w:hint="eastAsia"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类区标准。</w:t>
            </w:r>
          </w:p>
          <w:p>
            <w:pPr>
              <w:spacing w:line="360" w:lineRule="auto"/>
              <w:ind w:firstLine="480" w:firstLineChars="200"/>
              <w:rPr>
                <w:rFonts w:hint="default" w:ascii="Times New Roman" w:hAnsi="Times New Roman" w:eastAsia="宋体" w:cs="Times New Roman"/>
                <w:color w:val="auto"/>
                <w:sz w:val="24"/>
                <w:szCs w:val="24"/>
                <w:highlight w:val="none"/>
                <w:lang w:val="zh-TW" w:eastAsia="zh-CN"/>
              </w:rPr>
            </w:pPr>
            <w:r>
              <w:rPr>
                <w:rFonts w:hint="default" w:ascii="Times New Roman" w:hAnsi="Times New Roman" w:eastAsia="宋体" w:cs="Times New Roman"/>
                <w:color w:val="auto"/>
                <w:sz w:val="24"/>
                <w:szCs w:val="24"/>
                <w:highlight w:val="none"/>
                <w:lang w:val="zh-TW" w:eastAsia="zh-CN"/>
              </w:rPr>
              <w:t>4、环境管理检查结论</w:t>
            </w:r>
          </w:p>
          <w:p>
            <w:pPr>
              <w:spacing w:line="360" w:lineRule="auto"/>
              <w:ind w:firstLine="480" w:firstLineChars="200"/>
              <w:rPr>
                <w:rFonts w:hint="default" w:ascii="Times New Roman" w:hAnsi="Times New Roman" w:cs="Times New Roman"/>
                <w:color w:val="auto"/>
                <w:kern w:val="0"/>
                <w:sz w:val="24"/>
                <w:szCs w:val="24"/>
                <w:highlight w:val="none"/>
                <w:lang w:val="en-US"/>
              </w:rPr>
            </w:pPr>
            <w:r>
              <w:rPr>
                <w:rFonts w:hint="eastAsia" w:cs="Times New Roman"/>
                <w:color w:val="auto"/>
                <w:sz w:val="24"/>
                <w:szCs w:val="24"/>
                <w:highlight w:val="none"/>
                <w:lang w:val="en-US" w:eastAsia="zh-CN"/>
              </w:rPr>
              <w:t xml:space="preserve">           </w:t>
            </w:r>
          </w:p>
        </w:tc>
      </w:tr>
    </w:tbl>
    <w:p>
      <w:pPr>
        <w:pStyle w:val="6"/>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keepLines/>
        <w:spacing w:line="413" w:lineRule="auto"/>
        <w:jc w:val="center"/>
        <w:outlineLvl w:val="0"/>
        <w:rPr>
          <w:rFonts w:hint="default" w:ascii="Times New Roman" w:hAnsi="Times New Roman" w:cs="Times New Roman"/>
          <w:bCs/>
          <w:color w:val="auto"/>
          <w:kern w:val="44"/>
          <w:sz w:val="28"/>
          <w:szCs w:val="28"/>
          <w:highlight w:val="none"/>
        </w:rPr>
      </w:pPr>
      <w:bookmarkStart w:id="60" w:name="_Toc497508402"/>
      <w:bookmarkStart w:id="61" w:name="_Toc9622_WPSOffice_Level1"/>
      <w:bookmarkStart w:id="62" w:name="_Toc498432423"/>
      <w:bookmarkStart w:id="63" w:name="_Toc505095490"/>
      <w:bookmarkStart w:id="64" w:name="_Toc5237_WPSOffice_Level1"/>
      <w:bookmarkStart w:id="65" w:name="_Toc18057_WPSOffice_Level1"/>
      <w:bookmarkStart w:id="66" w:name="_Toc13682_WPSOffice_Level1"/>
      <w:bookmarkStart w:id="67" w:name="_Toc5229_WPSOffice_Level1"/>
      <w:r>
        <w:rPr>
          <w:rFonts w:hint="default" w:ascii="Times New Roman" w:hAnsi="Times New Roman" w:cs="Times New Roman"/>
          <w:b/>
          <w:bCs/>
          <w:color w:val="auto"/>
          <w:kern w:val="44"/>
          <w:sz w:val="28"/>
          <w:szCs w:val="28"/>
          <w:highlight w:val="none"/>
        </w:rPr>
        <w:t>建设项目竣工环境保护“三同时”验收登记表</w:t>
      </w:r>
      <w:bookmarkEnd w:id="60"/>
      <w:bookmarkEnd w:id="61"/>
      <w:bookmarkEnd w:id="62"/>
      <w:bookmarkEnd w:id="63"/>
      <w:bookmarkEnd w:id="64"/>
      <w:bookmarkEnd w:id="65"/>
    </w:p>
    <w:p>
      <w:pPr>
        <w:widowControl/>
        <w:spacing w:line="240" w:lineRule="atLeast"/>
        <w:ind w:firstLine="360"/>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填表单位（盖章）：</w:t>
      </w:r>
      <w:r>
        <w:rPr>
          <w:rFonts w:hint="eastAsia" w:cs="Times New Roman"/>
          <w:color w:val="auto"/>
          <w:sz w:val="18"/>
          <w:szCs w:val="18"/>
          <w:highlight w:val="none"/>
          <w:lang w:eastAsia="zh-CN"/>
        </w:rPr>
        <w:t>黑龙江二道河农场</w:t>
      </w:r>
      <w:r>
        <w:rPr>
          <w:rFonts w:hint="eastAsia" w:cs="Times New Roman"/>
          <w:color w:val="auto"/>
          <w:sz w:val="18"/>
          <w:szCs w:val="18"/>
          <w:highlight w:val="none"/>
          <w:lang w:val="en-US" w:eastAsia="zh-CN"/>
        </w:rPr>
        <w:t xml:space="preserve">      </w:t>
      </w:r>
      <w:r>
        <w:rPr>
          <w:rFonts w:hint="default" w:ascii="Times New Roman" w:hAnsi="Times New Roman" w:cs="Times New Roman"/>
          <w:color w:val="auto"/>
          <w:sz w:val="18"/>
          <w:szCs w:val="18"/>
          <w:highlight w:val="none"/>
        </w:rPr>
        <w:t xml:space="preserve">                          填表人（签字）：                                项目经办人（签字）：</w:t>
      </w:r>
    </w:p>
    <w:tbl>
      <w:tblPr>
        <w:tblStyle w:val="11"/>
        <w:tblW w:w="155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1"/>
        <w:gridCol w:w="48"/>
        <w:gridCol w:w="1096"/>
        <w:gridCol w:w="982"/>
        <w:gridCol w:w="709"/>
        <w:gridCol w:w="1417"/>
        <w:gridCol w:w="709"/>
        <w:gridCol w:w="283"/>
        <w:gridCol w:w="993"/>
        <w:gridCol w:w="141"/>
        <w:gridCol w:w="993"/>
        <w:gridCol w:w="1134"/>
        <w:gridCol w:w="1134"/>
        <w:gridCol w:w="1427"/>
        <w:gridCol w:w="1266"/>
        <w:gridCol w:w="305"/>
        <w:gridCol w:w="687"/>
        <w:gridCol w:w="142"/>
        <w:gridCol w:w="907"/>
        <w:gridCol w:w="227"/>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restart"/>
            <w:textDirection w:val="tbRlV"/>
            <w:vAlign w:val="center"/>
          </w:tcPr>
          <w:p>
            <w:pPr>
              <w:widowControl/>
              <w:spacing w:line="240" w:lineRule="exact"/>
              <w:ind w:right="113" w:firstLine="360"/>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建设项目</w:t>
            </w: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项目名称</w:t>
            </w:r>
          </w:p>
        </w:tc>
        <w:tc>
          <w:tcPr>
            <w:tcW w:w="5245" w:type="dxa"/>
            <w:gridSpan w:val="7"/>
            <w:vAlign w:val="center"/>
          </w:tcPr>
          <w:p>
            <w:pPr>
              <w:widowControl/>
              <w:spacing w:line="240" w:lineRule="exact"/>
              <w:jc w:val="center"/>
              <w:rPr>
                <w:rFonts w:hint="eastAsia" w:ascii="Times New Roman" w:hAnsi="Times New Roman" w:eastAsia="宋体" w:cs="Times New Roman"/>
                <w:color w:val="auto"/>
                <w:sz w:val="15"/>
                <w:szCs w:val="15"/>
                <w:highlight w:val="none"/>
                <w:lang w:eastAsia="zh-CN"/>
              </w:rPr>
            </w:pPr>
            <w:r>
              <w:rPr>
                <w:rFonts w:hint="eastAsia" w:cs="Times New Roman"/>
                <w:color w:val="auto"/>
                <w:sz w:val="15"/>
                <w:szCs w:val="15"/>
                <w:highlight w:val="none"/>
                <w:lang w:eastAsia="zh-CN"/>
              </w:rPr>
              <w:t>二道河农场污水处理工程建设项目</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项目代码</w:t>
            </w:r>
          </w:p>
        </w:tc>
        <w:tc>
          <w:tcPr>
            <w:tcW w:w="1427" w:type="dxa"/>
            <w:tcBorders>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建设地点</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黑龙江省二道河农场东北部规划区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行业类别（分类管理名录）</w:t>
            </w:r>
          </w:p>
        </w:tc>
        <w:tc>
          <w:tcPr>
            <w:tcW w:w="5245" w:type="dxa"/>
            <w:gridSpan w:val="7"/>
            <w:vAlign w:val="center"/>
          </w:tcPr>
          <w:p>
            <w:pPr>
              <w:widowControl/>
              <w:spacing w:line="240" w:lineRule="exact"/>
              <w:jc w:val="center"/>
              <w:rPr>
                <w:rFonts w:hint="default" w:ascii="Times New Roman" w:hAnsi="Times New Roman" w:cs="Times New Roman"/>
                <w:color w:val="auto"/>
                <w:sz w:val="15"/>
                <w:szCs w:val="15"/>
                <w:highlight w:val="none"/>
              </w:rPr>
            </w:pP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建设性质</w:t>
            </w:r>
          </w:p>
        </w:tc>
        <w:tc>
          <w:tcPr>
            <w:tcW w:w="5528" w:type="dxa"/>
            <w:gridSpan w:val="8"/>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sym w:font="Wingdings" w:char="00FE"/>
            </w:r>
            <w:r>
              <w:rPr>
                <w:rFonts w:hint="default" w:ascii="Times New Roman" w:hAnsi="Times New Roman" w:cs="Times New Roman"/>
                <w:color w:val="auto"/>
                <w:sz w:val="15"/>
                <w:szCs w:val="15"/>
                <w:highlight w:val="none"/>
              </w:rPr>
              <w:t xml:space="preserve">新建    </w:t>
            </w:r>
            <w:r>
              <w:rPr>
                <w:rFonts w:hint="default" w:ascii="Times New Roman" w:hAnsi="Times New Roman" w:cs="Times New Roman"/>
                <w:color w:val="auto"/>
                <w:sz w:val="15"/>
                <w:szCs w:val="15"/>
                <w:highlight w:val="none"/>
              </w:rPr>
              <w:sym w:font="Wingdings" w:char="006F"/>
            </w:r>
            <w:r>
              <w:rPr>
                <w:rFonts w:hint="default" w:ascii="Times New Roman" w:hAnsi="Times New Roman" w:cs="Times New Roman"/>
                <w:color w:val="auto"/>
                <w:sz w:val="15"/>
                <w:szCs w:val="15"/>
                <w:highlight w:val="none"/>
              </w:rPr>
              <w:t xml:space="preserve">改扩建   </w:t>
            </w:r>
            <w:r>
              <w:rPr>
                <w:rFonts w:hint="default" w:ascii="Times New Roman" w:hAnsi="Times New Roman" w:cs="Times New Roman"/>
                <w:color w:val="auto"/>
                <w:sz w:val="15"/>
                <w:szCs w:val="15"/>
                <w:highlight w:val="none"/>
              </w:rPr>
              <w:sym w:font="Wingdings" w:char="006F"/>
            </w:r>
            <w:r>
              <w:rPr>
                <w:rFonts w:hint="default" w:ascii="Times New Roman" w:hAnsi="Times New Roman" w:cs="Times New Roman"/>
                <w:color w:val="auto"/>
                <w:sz w:val="15"/>
                <w:szCs w:val="15"/>
                <w:highlight w:val="none"/>
              </w:rPr>
              <w:t>技术改造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设计生产能力</w:t>
            </w:r>
          </w:p>
        </w:tc>
        <w:tc>
          <w:tcPr>
            <w:tcW w:w="5245" w:type="dxa"/>
            <w:gridSpan w:val="7"/>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日处理污水1500m</w:t>
            </w:r>
            <w:r>
              <w:rPr>
                <w:rFonts w:hint="default" w:ascii="Times New Roman" w:hAnsi="Times New Roman" w:cs="Times New Roman"/>
                <w:color w:val="auto"/>
                <w:sz w:val="15"/>
                <w:szCs w:val="15"/>
                <w:highlight w:val="none"/>
                <w:vertAlign w:val="superscript"/>
              </w:rPr>
              <w:t>3</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实际生产能力</w:t>
            </w:r>
          </w:p>
        </w:tc>
        <w:tc>
          <w:tcPr>
            <w:tcW w:w="1427" w:type="dxa"/>
            <w:tcBorders>
              <w:righ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日处理污水1500m</w:t>
            </w:r>
            <w:r>
              <w:rPr>
                <w:rFonts w:hint="default" w:ascii="Times New Roman" w:hAnsi="Times New Roman" w:cs="Times New Roman"/>
                <w:color w:val="auto"/>
                <w:sz w:val="15"/>
                <w:szCs w:val="15"/>
                <w:highlight w:val="none"/>
                <w:vertAlign w:val="superscript"/>
              </w:rPr>
              <w:t>3</w:t>
            </w: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环评单位</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黑龙江省农垦环境保护科学研究所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环评文件审批机关</w:t>
            </w:r>
          </w:p>
        </w:tc>
        <w:tc>
          <w:tcPr>
            <w:tcW w:w="5245" w:type="dxa"/>
            <w:gridSpan w:val="7"/>
            <w:vAlign w:val="center"/>
          </w:tcPr>
          <w:p>
            <w:pPr>
              <w:widowControl/>
              <w:spacing w:line="24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lang w:eastAsia="zh-CN"/>
              </w:rPr>
              <w:t xml:space="preserve">黑龙江省环境保护厅垦区环境保护局 </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批准审批文号</w:t>
            </w:r>
          </w:p>
        </w:tc>
        <w:tc>
          <w:tcPr>
            <w:tcW w:w="1427" w:type="dxa"/>
            <w:tcBorders>
              <w:right w:val="single" w:color="auto" w:sz="4" w:space="0"/>
            </w:tcBorders>
            <w:vAlign w:val="center"/>
          </w:tcPr>
          <w:p>
            <w:pPr>
              <w:widowControl/>
              <w:spacing w:line="240" w:lineRule="exact"/>
              <w:jc w:val="left"/>
              <w:rPr>
                <w:rFonts w:hint="default" w:ascii="Times New Roman" w:hAnsi="Times New Roman" w:cs="Times New Roman"/>
                <w:color w:val="auto"/>
                <w:spacing w:val="-12"/>
                <w:sz w:val="15"/>
                <w:szCs w:val="15"/>
                <w:highlight w:val="none"/>
              </w:rPr>
            </w:pPr>
            <w:r>
              <w:rPr>
                <w:rFonts w:hint="default" w:ascii="Times New Roman" w:hAnsi="Times New Roman" w:cs="Times New Roman"/>
                <w:color w:val="auto"/>
                <w:spacing w:val="-12"/>
                <w:sz w:val="15"/>
                <w:szCs w:val="15"/>
                <w:highlight w:val="none"/>
              </w:rPr>
              <w:t>黑垦环审[2012]77号</w:t>
            </w: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环评文件类型</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环境影响报告表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开工日期</w:t>
            </w:r>
          </w:p>
        </w:tc>
        <w:tc>
          <w:tcPr>
            <w:tcW w:w="5245" w:type="dxa"/>
            <w:gridSpan w:val="7"/>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201</w:t>
            </w:r>
            <w:r>
              <w:rPr>
                <w:rFonts w:hint="eastAsia" w:cs="Times New Roman"/>
                <w:color w:val="auto"/>
                <w:sz w:val="15"/>
                <w:szCs w:val="15"/>
                <w:highlight w:val="none"/>
                <w:lang w:val="en-US" w:eastAsia="zh-CN"/>
              </w:rPr>
              <w:t>6</w:t>
            </w:r>
            <w:r>
              <w:rPr>
                <w:rFonts w:hint="default" w:ascii="Times New Roman" w:hAnsi="Times New Roman" w:cs="Times New Roman"/>
                <w:color w:val="auto"/>
                <w:sz w:val="15"/>
                <w:szCs w:val="15"/>
                <w:highlight w:val="none"/>
              </w:rPr>
              <w:t>年</w:t>
            </w:r>
            <w:r>
              <w:rPr>
                <w:rFonts w:hint="eastAsia" w:cs="Times New Roman"/>
                <w:color w:val="auto"/>
                <w:sz w:val="15"/>
                <w:szCs w:val="15"/>
                <w:highlight w:val="none"/>
                <w:lang w:val="en-US" w:eastAsia="zh-CN"/>
              </w:rPr>
              <w:t>5</w:t>
            </w:r>
            <w:r>
              <w:rPr>
                <w:rFonts w:hint="default" w:ascii="Times New Roman" w:hAnsi="Times New Roman" w:cs="Times New Roman"/>
                <w:color w:val="auto"/>
                <w:sz w:val="15"/>
                <w:szCs w:val="15"/>
                <w:highlight w:val="none"/>
              </w:rPr>
              <w:t>月</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竣工日期</w:t>
            </w:r>
          </w:p>
        </w:tc>
        <w:tc>
          <w:tcPr>
            <w:tcW w:w="1427" w:type="dxa"/>
            <w:tcBorders>
              <w:righ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2018年</w:t>
            </w:r>
            <w:r>
              <w:rPr>
                <w:rFonts w:hint="eastAsia" w:cs="Times New Roman"/>
                <w:color w:val="auto"/>
                <w:sz w:val="15"/>
                <w:szCs w:val="15"/>
                <w:highlight w:val="none"/>
                <w:lang w:val="en-US" w:eastAsia="zh-CN"/>
              </w:rPr>
              <w:t>9</w:t>
            </w:r>
            <w:r>
              <w:rPr>
                <w:rFonts w:hint="default" w:ascii="Times New Roman" w:hAnsi="Times New Roman" w:cs="Times New Roman"/>
                <w:color w:val="auto"/>
                <w:sz w:val="15"/>
                <w:szCs w:val="15"/>
                <w:highlight w:val="none"/>
              </w:rPr>
              <w:t>月</w:t>
            </w: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排污许可证申领时间</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环保设施设计单位</w:t>
            </w:r>
          </w:p>
        </w:tc>
        <w:tc>
          <w:tcPr>
            <w:tcW w:w="5245" w:type="dxa"/>
            <w:gridSpan w:val="7"/>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哈尔滨市新中瑞环保科技有限公司</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环保设施施工单位</w:t>
            </w:r>
          </w:p>
        </w:tc>
        <w:tc>
          <w:tcPr>
            <w:tcW w:w="1427" w:type="dxa"/>
            <w:tcBorders>
              <w:right w:val="single" w:color="auto" w:sz="4" w:space="0"/>
            </w:tcBorders>
            <w:vAlign w:val="center"/>
          </w:tcPr>
          <w:p>
            <w:pPr>
              <w:widowControl/>
              <w:spacing w:line="240" w:lineRule="exact"/>
              <w:jc w:val="both"/>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哈尔滨庚迪环保工程有限公司</w:t>
            </w: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本工程排污可证编号</w:t>
            </w:r>
          </w:p>
        </w:tc>
        <w:tc>
          <w:tcPr>
            <w:tcW w:w="2530" w:type="dxa"/>
            <w:gridSpan w:val="5"/>
            <w:tcBorders>
              <w:lef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验收单位</w:t>
            </w:r>
          </w:p>
        </w:tc>
        <w:tc>
          <w:tcPr>
            <w:tcW w:w="5245" w:type="dxa"/>
            <w:gridSpan w:val="7"/>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黑龙江省瑞科检测技术有限公司</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环保设施监测单位</w:t>
            </w:r>
          </w:p>
        </w:tc>
        <w:tc>
          <w:tcPr>
            <w:tcW w:w="1427" w:type="dxa"/>
            <w:tcBorders>
              <w:right w:val="single" w:color="auto" w:sz="4" w:space="0"/>
            </w:tcBorders>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黑龙江省瑞科检测技术有限公司</w:t>
            </w: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验收监测时工况</w:t>
            </w:r>
          </w:p>
        </w:tc>
        <w:tc>
          <w:tcPr>
            <w:tcW w:w="2530" w:type="dxa"/>
            <w:gridSpan w:val="5"/>
            <w:tcBorders>
              <w:left w:val="single" w:color="auto" w:sz="4" w:space="0"/>
            </w:tcBorders>
            <w:vAlign w:val="center"/>
          </w:tcPr>
          <w:p>
            <w:pPr>
              <w:widowControl/>
              <w:spacing w:line="240" w:lineRule="exact"/>
              <w:jc w:val="center"/>
              <w:rPr>
                <w:rFonts w:hint="eastAsia" w:ascii="Times New Roman" w:hAnsi="Times New Roman" w:eastAsia="宋体" w:cs="Times New Roman"/>
                <w:color w:val="auto"/>
                <w:sz w:val="15"/>
                <w:szCs w:val="15"/>
                <w:highlight w:val="none"/>
                <w:lang w:val="en-US" w:eastAsia="zh-CN"/>
              </w:rPr>
            </w:pPr>
            <w:bookmarkStart w:id="124" w:name="_GoBack"/>
            <w:r>
              <w:rPr>
                <w:rFonts w:hint="eastAsia" w:cs="Times New Roman"/>
                <w:color w:val="auto"/>
                <w:sz w:val="15"/>
                <w:szCs w:val="15"/>
                <w:highlight w:val="none"/>
                <w:lang w:val="en-US" w:eastAsia="zh-CN"/>
              </w:rPr>
              <w:t>环保设施运行正常</w:t>
            </w:r>
            <w:bookmarkEnd w:id="12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投资总概算（万元）</w:t>
            </w:r>
          </w:p>
        </w:tc>
        <w:tc>
          <w:tcPr>
            <w:tcW w:w="5245" w:type="dxa"/>
            <w:gridSpan w:val="7"/>
            <w:vAlign w:val="center"/>
          </w:tcPr>
          <w:p>
            <w:pPr>
              <w:widowControl/>
              <w:spacing w:line="240" w:lineRule="exact"/>
              <w:ind w:firstLine="360"/>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1800</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环保投资总概算（万元）</w:t>
            </w:r>
          </w:p>
        </w:tc>
        <w:tc>
          <w:tcPr>
            <w:tcW w:w="1427" w:type="dxa"/>
            <w:tcBorders>
              <w:righ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1800</w:t>
            </w:r>
          </w:p>
        </w:tc>
        <w:tc>
          <w:tcPr>
            <w:tcW w:w="1571" w:type="dxa"/>
            <w:gridSpan w:val="2"/>
            <w:tcBorders>
              <w:left w:val="single" w:color="auto" w:sz="4" w:space="0"/>
              <w:right w:val="single" w:color="auto" w:sz="4" w:space="0"/>
            </w:tcBorders>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所占比例（%）</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实际总投资（万元）</w:t>
            </w:r>
          </w:p>
        </w:tc>
        <w:tc>
          <w:tcPr>
            <w:tcW w:w="5245" w:type="dxa"/>
            <w:gridSpan w:val="7"/>
            <w:vAlign w:val="center"/>
          </w:tcPr>
          <w:p>
            <w:pPr>
              <w:widowControl/>
              <w:spacing w:line="240" w:lineRule="exact"/>
              <w:ind w:firstLine="360"/>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1129</w:t>
            </w: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实际环保投资（万元）</w:t>
            </w:r>
          </w:p>
        </w:tc>
        <w:tc>
          <w:tcPr>
            <w:tcW w:w="1427" w:type="dxa"/>
            <w:tcBorders>
              <w:righ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1129</w:t>
            </w:r>
          </w:p>
        </w:tc>
        <w:tc>
          <w:tcPr>
            <w:tcW w:w="1571" w:type="dxa"/>
            <w:gridSpan w:val="2"/>
            <w:tcBorders>
              <w:left w:val="single" w:color="auto" w:sz="4" w:space="0"/>
              <w:right w:val="single" w:color="auto" w:sz="4" w:space="0"/>
            </w:tcBorders>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所占比例（%）</w:t>
            </w:r>
          </w:p>
        </w:tc>
        <w:tc>
          <w:tcPr>
            <w:tcW w:w="2530" w:type="dxa"/>
            <w:gridSpan w:val="5"/>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废水治理（万元）</w:t>
            </w:r>
          </w:p>
        </w:tc>
        <w:tc>
          <w:tcPr>
            <w:tcW w:w="709"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废气治理（万元）</w:t>
            </w:r>
          </w:p>
        </w:tc>
        <w:tc>
          <w:tcPr>
            <w:tcW w:w="709" w:type="dxa"/>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p>
        </w:tc>
        <w:tc>
          <w:tcPr>
            <w:tcW w:w="1417" w:type="dxa"/>
            <w:gridSpan w:val="3"/>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噪声治理（万元）</w:t>
            </w:r>
          </w:p>
        </w:tc>
        <w:tc>
          <w:tcPr>
            <w:tcW w:w="993" w:type="dxa"/>
            <w:vAlign w:val="center"/>
          </w:tcPr>
          <w:p>
            <w:pPr>
              <w:widowControl/>
              <w:spacing w:line="240" w:lineRule="exact"/>
              <w:ind w:firstLine="360"/>
              <w:rPr>
                <w:rFonts w:hint="default" w:ascii="Times New Roman" w:hAnsi="Times New Roman" w:eastAsia="宋体" w:cs="Times New Roman"/>
                <w:color w:val="auto"/>
                <w:sz w:val="15"/>
                <w:szCs w:val="15"/>
                <w:highlight w:val="none"/>
                <w:lang w:val="en-US" w:eastAsia="zh-CN"/>
              </w:rPr>
            </w:pPr>
          </w:p>
        </w:tc>
        <w:tc>
          <w:tcPr>
            <w:tcW w:w="226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固体废物治理（万元）</w:t>
            </w:r>
          </w:p>
        </w:tc>
        <w:tc>
          <w:tcPr>
            <w:tcW w:w="1427" w:type="dxa"/>
            <w:tcBorders>
              <w:righ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p>
        </w:tc>
        <w:tc>
          <w:tcPr>
            <w:tcW w:w="1571" w:type="dxa"/>
            <w:gridSpan w:val="2"/>
            <w:tcBorders>
              <w:left w:val="single" w:color="auto" w:sz="4" w:space="0"/>
              <w:right w:val="single" w:color="auto" w:sz="4" w:space="0"/>
            </w:tcBorders>
            <w:vAlign w:val="center"/>
          </w:tcPr>
          <w:p>
            <w:pPr>
              <w:widowControl/>
              <w:spacing w:line="240" w:lineRule="exac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绿化及生态（万元）</w:t>
            </w:r>
          </w:p>
        </w:tc>
        <w:tc>
          <w:tcPr>
            <w:tcW w:w="829" w:type="dxa"/>
            <w:gridSpan w:val="2"/>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p>
        </w:tc>
        <w:tc>
          <w:tcPr>
            <w:tcW w:w="1134" w:type="dxa"/>
            <w:gridSpan w:val="2"/>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其他（万元）</w:t>
            </w:r>
          </w:p>
        </w:tc>
        <w:tc>
          <w:tcPr>
            <w:tcW w:w="567" w:type="dxa"/>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48" w:hRule="atLeast"/>
          <w:jc w:val="center"/>
        </w:trPr>
        <w:tc>
          <w:tcPr>
            <w:tcW w:w="421" w:type="dxa"/>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126" w:type="dxa"/>
            <w:gridSpan w:val="3"/>
            <w:tcBorders>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新增废水处理设施能力</w:t>
            </w:r>
          </w:p>
        </w:tc>
        <w:tc>
          <w:tcPr>
            <w:tcW w:w="5245" w:type="dxa"/>
            <w:gridSpan w:val="7"/>
            <w:tcBorders>
              <w:left w:val="single" w:color="auto" w:sz="4" w:space="0"/>
            </w:tcBorders>
            <w:vAlign w:val="center"/>
          </w:tcPr>
          <w:p>
            <w:pPr>
              <w:widowControl/>
              <w:spacing w:line="240" w:lineRule="exact"/>
              <w:ind w:firstLine="360"/>
              <w:jc w:val="center"/>
              <w:rPr>
                <w:rFonts w:hint="eastAsia"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1500m</w:t>
            </w:r>
            <w:r>
              <w:rPr>
                <w:rFonts w:hint="eastAsia" w:cs="Times New Roman"/>
                <w:color w:val="auto"/>
                <w:sz w:val="15"/>
                <w:szCs w:val="15"/>
                <w:highlight w:val="none"/>
                <w:vertAlign w:val="superscript"/>
                <w:lang w:val="en-US" w:eastAsia="zh-CN"/>
              </w:rPr>
              <w:t>3</w:t>
            </w:r>
            <w:r>
              <w:rPr>
                <w:rFonts w:hint="eastAsia" w:cs="Times New Roman"/>
                <w:color w:val="auto"/>
                <w:sz w:val="15"/>
                <w:szCs w:val="15"/>
                <w:highlight w:val="none"/>
                <w:lang w:val="en-US" w:eastAsia="zh-CN"/>
              </w:rPr>
              <w:t>/d</w:t>
            </w:r>
          </w:p>
        </w:tc>
        <w:tc>
          <w:tcPr>
            <w:tcW w:w="2268" w:type="dxa"/>
            <w:gridSpan w:val="2"/>
            <w:vAlign w:val="center"/>
          </w:tcPr>
          <w:p>
            <w:pPr>
              <w:widowControl/>
              <w:spacing w:line="240" w:lineRule="exact"/>
              <w:jc w:val="distribute"/>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新增废气处理设施能力</w:t>
            </w:r>
          </w:p>
        </w:tc>
        <w:tc>
          <w:tcPr>
            <w:tcW w:w="1427" w:type="dxa"/>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571" w:type="dxa"/>
            <w:gridSpan w:val="2"/>
            <w:tcBorders>
              <w:left w:val="single" w:color="auto" w:sz="4" w:space="0"/>
              <w:right w:val="single" w:color="auto" w:sz="4" w:space="0"/>
            </w:tcBorders>
            <w:vAlign w:val="center"/>
          </w:tcPr>
          <w:p>
            <w:pPr>
              <w:widowControl/>
              <w:spacing w:line="240" w:lineRule="exact"/>
              <w:jc w:val="distribute"/>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年平均工作时</w:t>
            </w:r>
          </w:p>
        </w:tc>
        <w:tc>
          <w:tcPr>
            <w:tcW w:w="2530" w:type="dxa"/>
            <w:gridSpan w:val="5"/>
            <w:tcBorders>
              <w:left w:val="single" w:color="auto" w:sz="4" w:space="0"/>
            </w:tcBorders>
            <w:vAlign w:val="center"/>
          </w:tcPr>
          <w:p>
            <w:pPr>
              <w:widowControl/>
              <w:spacing w:line="240" w:lineRule="exact"/>
              <w:ind w:firstLine="360"/>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8760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45" w:hRule="atLeast"/>
          <w:jc w:val="center"/>
        </w:trPr>
        <w:tc>
          <w:tcPr>
            <w:tcW w:w="2547" w:type="dxa"/>
            <w:gridSpan w:val="4"/>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运营单位</w:t>
            </w:r>
          </w:p>
        </w:tc>
        <w:tc>
          <w:tcPr>
            <w:tcW w:w="4111" w:type="dxa"/>
            <w:gridSpan w:val="5"/>
            <w:tcBorders>
              <w:top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黑龙江省二道河农场</w:t>
            </w:r>
          </w:p>
        </w:tc>
        <w:tc>
          <w:tcPr>
            <w:tcW w:w="3402" w:type="dxa"/>
            <w:gridSpan w:val="4"/>
            <w:tcBorders>
              <w:top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运营单位统一社会信用代码（或组织机构代码）</w:t>
            </w:r>
          </w:p>
        </w:tc>
        <w:tc>
          <w:tcPr>
            <w:tcW w:w="1427" w:type="dxa"/>
            <w:tcBorders>
              <w:left w:val="single" w:color="auto" w:sz="4" w:space="0"/>
              <w:right w:val="single" w:color="auto" w:sz="4" w:space="0"/>
            </w:tcBorders>
            <w:vAlign w:val="center"/>
          </w:tcPr>
          <w:p>
            <w:pPr>
              <w:widowControl/>
              <w:spacing w:line="240" w:lineRule="exact"/>
              <w:jc w:val="center"/>
              <w:rPr>
                <w:rFonts w:hint="default" w:ascii="Times New Roman" w:hAnsi="Times New Roman" w:eastAsia="宋体" w:cs="Times New Roman"/>
                <w:color w:val="auto"/>
                <w:spacing w:val="-6"/>
                <w:sz w:val="15"/>
                <w:szCs w:val="15"/>
                <w:highlight w:val="none"/>
                <w:lang w:val="en-US" w:eastAsia="zh-CN"/>
              </w:rPr>
            </w:pPr>
          </w:p>
        </w:tc>
        <w:tc>
          <w:tcPr>
            <w:tcW w:w="1571" w:type="dxa"/>
            <w:gridSpan w:val="2"/>
            <w:tcBorders>
              <w:left w:val="single" w:color="auto" w:sz="4" w:space="0"/>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验收时间</w:t>
            </w:r>
          </w:p>
        </w:tc>
        <w:tc>
          <w:tcPr>
            <w:tcW w:w="2530" w:type="dxa"/>
            <w:gridSpan w:val="5"/>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2018年10月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81" w:hRule="atLeast"/>
          <w:jc w:val="center"/>
        </w:trPr>
        <w:tc>
          <w:tcPr>
            <w:tcW w:w="469" w:type="dxa"/>
            <w:gridSpan w:val="2"/>
            <w:vMerge w:val="restart"/>
            <w:textDirection w:val="tbRlV"/>
            <w:vAlign w:val="center"/>
          </w:tcPr>
          <w:p>
            <w:pPr>
              <w:widowControl/>
              <w:spacing w:line="240" w:lineRule="exact"/>
              <w:ind w:left="113" w:right="113"/>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污染物排放达标与总量控制（工业建设项目详填）</w:t>
            </w: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污染物</w:t>
            </w:r>
          </w:p>
        </w:tc>
        <w:tc>
          <w:tcPr>
            <w:tcW w:w="709"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原有排放量</w:t>
            </w:r>
          </w:p>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（1）</w:t>
            </w:r>
          </w:p>
        </w:tc>
        <w:tc>
          <w:tcPr>
            <w:tcW w:w="1417"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本期工程实际排放</w:t>
            </w:r>
          </w:p>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浓度（2）</w:t>
            </w:r>
          </w:p>
        </w:tc>
        <w:tc>
          <w:tcPr>
            <w:tcW w:w="992"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本期工程允许排放浓度</w:t>
            </w:r>
          </w:p>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（3）</w:t>
            </w:r>
          </w:p>
        </w:tc>
        <w:tc>
          <w:tcPr>
            <w:tcW w:w="993"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本期工程产生量（4）</w:t>
            </w:r>
          </w:p>
        </w:tc>
        <w:tc>
          <w:tcPr>
            <w:tcW w:w="1134" w:type="dxa"/>
            <w:gridSpan w:val="2"/>
            <w:tcBorders>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本期工程自身削减量（5）</w:t>
            </w:r>
          </w:p>
        </w:tc>
        <w:tc>
          <w:tcPr>
            <w:tcW w:w="1134" w:type="dxa"/>
            <w:tcBorders>
              <w:lef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本期工程实际排放量（6）</w:t>
            </w:r>
          </w:p>
        </w:tc>
        <w:tc>
          <w:tcPr>
            <w:tcW w:w="1134"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本期工程核定排放总量（7）</w:t>
            </w:r>
          </w:p>
        </w:tc>
        <w:tc>
          <w:tcPr>
            <w:tcW w:w="1427" w:type="dxa"/>
            <w:vAlign w:val="center"/>
          </w:tcPr>
          <w:p>
            <w:pPr>
              <w:widowControl/>
              <w:spacing w:line="240" w:lineRule="exact"/>
              <w:jc w:val="center"/>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本期工程 “以新代老”削减量（8）</w:t>
            </w:r>
          </w:p>
        </w:tc>
        <w:tc>
          <w:tcPr>
            <w:tcW w:w="1266" w:type="dxa"/>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全厂实际排放总量（9）</w:t>
            </w:r>
          </w:p>
        </w:tc>
        <w:tc>
          <w:tcPr>
            <w:tcW w:w="992"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全厂核定排放总量（10）</w:t>
            </w:r>
          </w:p>
        </w:tc>
        <w:tc>
          <w:tcPr>
            <w:tcW w:w="1049"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区域平衡替代削减量（11）</w:t>
            </w:r>
          </w:p>
        </w:tc>
        <w:tc>
          <w:tcPr>
            <w:tcW w:w="794"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排放增减量（12）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废水</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ind w:firstLine="360"/>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化学需氧量</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jc w:val="both"/>
              <w:rPr>
                <w:rFonts w:hint="eastAsia"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36</w:t>
            </w:r>
          </w:p>
        </w:tc>
        <w:tc>
          <w:tcPr>
            <w:tcW w:w="992" w:type="dxa"/>
            <w:gridSpan w:val="2"/>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60</w:t>
            </w:r>
          </w:p>
        </w:tc>
        <w:tc>
          <w:tcPr>
            <w:tcW w:w="993" w:type="dxa"/>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15.77</w:t>
            </w: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jc w:val="both"/>
              <w:rPr>
                <w:rFonts w:hint="default" w:ascii="Times New Roman" w:hAnsi="Times New Roman" w:eastAsia="宋体" w:cs="Times New Roman"/>
                <w:color w:val="auto"/>
                <w:sz w:val="15"/>
                <w:szCs w:val="15"/>
                <w:highlight w:val="none"/>
                <w:lang w:val="en-US" w:eastAsia="zh-CN"/>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jc w:val="both"/>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w:t>
            </w:r>
            <w:r>
              <w:rPr>
                <w:rFonts w:hint="eastAsia" w:cs="Times New Roman"/>
                <w:color w:val="auto"/>
                <w:sz w:val="15"/>
                <w:szCs w:val="15"/>
                <w:highlight w:val="none"/>
                <w:lang w:val="en-US" w:eastAsia="zh-CN"/>
              </w:rPr>
              <w:t>15.77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氨氮</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jc w:val="both"/>
              <w:rPr>
                <w:rFonts w:hint="eastAsia"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6.63</w:t>
            </w:r>
          </w:p>
        </w:tc>
        <w:tc>
          <w:tcPr>
            <w:tcW w:w="992" w:type="dxa"/>
            <w:gridSpan w:val="2"/>
            <w:vAlign w:val="center"/>
          </w:tcPr>
          <w:p>
            <w:pPr>
              <w:widowControl/>
              <w:spacing w:line="240" w:lineRule="exact"/>
              <w:jc w:val="center"/>
              <w:rPr>
                <w:rFonts w:hint="eastAsia"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8（15）</w:t>
            </w:r>
          </w:p>
        </w:tc>
        <w:tc>
          <w:tcPr>
            <w:tcW w:w="993" w:type="dxa"/>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eastAsia" w:cs="Times New Roman"/>
                <w:color w:val="auto"/>
                <w:sz w:val="15"/>
                <w:szCs w:val="15"/>
                <w:highlight w:val="none"/>
                <w:lang w:val="en-US" w:eastAsia="zh-CN"/>
              </w:rPr>
              <w:t>2.91</w:t>
            </w: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jc w:val="both"/>
              <w:rPr>
                <w:rFonts w:hint="default" w:ascii="Times New Roman" w:hAnsi="Times New Roman" w:eastAsia="宋体" w:cs="Times New Roman"/>
                <w:color w:val="auto"/>
                <w:sz w:val="15"/>
                <w:szCs w:val="15"/>
                <w:highlight w:val="none"/>
                <w:lang w:val="en-US" w:eastAsia="zh-CN"/>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jc w:val="both"/>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tcBorders>
              <w:left w:val="single" w:color="auto" w:sz="4" w:space="0"/>
            </w:tcBorders>
            <w:vAlign w:val="center"/>
          </w:tcPr>
          <w:p>
            <w:pPr>
              <w:widowControl/>
              <w:spacing w:line="24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w:t>
            </w:r>
            <w:r>
              <w:rPr>
                <w:rFonts w:hint="eastAsia" w:cs="Times New Roman"/>
                <w:color w:val="auto"/>
                <w:sz w:val="15"/>
                <w:szCs w:val="15"/>
                <w:highlight w:val="none"/>
                <w:lang w:val="en-US" w:eastAsia="zh-CN"/>
              </w:rPr>
              <w:t>2.91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石油类</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废气</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40"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二氧化硫</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烟尘</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7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工业粉尘</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left"/>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left"/>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 xml:space="preserve">                    </w:t>
            </w: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氮氧化物</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6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2078" w:type="dxa"/>
            <w:gridSpan w:val="2"/>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工业固体废物</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90"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96" w:type="dxa"/>
            <w:vMerge w:val="restart"/>
            <w:tcBorders>
              <w:righ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kern w:val="0"/>
                <w:sz w:val="15"/>
                <w:szCs w:val="15"/>
                <w:highlight w:val="none"/>
              </w:rPr>
              <w:t>与项目有关的其它特征污染物</w:t>
            </w:r>
          </w:p>
        </w:tc>
        <w:tc>
          <w:tcPr>
            <w:tcW w:w="982" w:type="dxa"/>
            <w:tcBorders>
              <w:lef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SS</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96" w:type="dxa"/>
            <w:vMerge w:val="continue"/>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82" w:type="dxa"/>
            <w:tcBorders>
              <w:left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r>
              <w:rPr>
                <w:rFonts w:hint="default" w:ascii="Times New Roman" w:hAnsi="Times New Roman" w:cs="Times New Roman"/>
                <w:color w:val="auto"/>
                <w:sz w:val="15"/>
                <w:szCs w:val="15"/>
                <w:highlight w:val="none"/>
              </w:rPr>
              <w:t>总磷</w:t>
            </w:r>
          </w:p>
        </w:tc>
        <w:tc>
          <w:tcPr>
            <w:tcW w:w="709"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gridSpan w:val="2"/>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85" w:hRule="atLeast"/>
          <w:jc w:val="center"/>
        </w:trPr>
        <w:tc>
          <w:tcPr>
            <w:tcW w:w="469" w:type="dxa"/>
            <w:gridSpan w:val="2"/>
            <w:vMerge w:val="continue"/>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96" w:type="dxa"/>
            <w:vMerge w:val="continue"/>
            <w:tcBorders>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82" w:type="dxa"/>
            <w:tcBorders>
              <w:left w:val="single" w:color="auto" w:sz="4" w:space="0"/>
              <w:bottom w:val="single" w:color="auto" w:sz="4" w:space="0"/>
            </w:tcBorders>
            <w:vAlign w:val="center"/>
          </w:tcPr>
          <w:p>
            <w:pPr>
              <w:widowControl/>
              <w:spacing w:line="240" w:lineRule="exact"/>
              <w:jc w:val="left"/>
              <w:rPr>
                <w:rFonts w:hint="default" w:ascii="Times New Roman" w:hAnsi="Times New Roman" w:cs="Times New Roman"/>
                <w:color w:val="auto"/>
                <w:sz w:val="15"/>
                <w:szCs w:val="15"/>
                <w:highlight w:val="none"/>
              </w:rPr>
            </w:pPr>
          </w:p>
        </w:tc>
        <w:tc>
          <w:tcPr>
            <w:tcW w:w="709"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17"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3"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gridSpan w:val="2"/>
            <w:tcBorders>
              <w:bottom w:val="single" w:color="auto" w:sz="4" w:space="0"/>
              <w:right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left w:val="single" w:color="auto" w:sz="4" w:space="0"/>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134"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427"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266" w:type="dxa"/>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992" w:type="dxa"/>
            <w:gridSpan w:val="2"/>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1049" w:type="dxa"/>
            <w:gridSpan w:val="2"/>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c>
          <w:tcPr>
            <w:tcW w:w="794" w:type="dxa"/>
            <w:gridSpan w:val="2"/>
            <w:tcBorders>
              <w:bottom w:val="single" w:color="auto" w:sz="4" w:space="0"/>
            </w:tcBorders>
            <w:vAlign w:val="center"/>
          </w:tcPr>
          <w:p>
            <w:pPr>
              <w:widowControl/>
              <w:spacing w:line="240" w:lineRule="exact"/>
              <w:ind w:firstLine="360"/>
              <w:jc w:val="center"/>
              <w:rPr>
                <w:rFonts w:hint="default" w:ascii="Times New Roman" w:hAnsi="Times New Roman" w:cs="Times New Roman"/>
                <w:color w:val="auto"/>
                <w:sz w:val="15"/>
                <w:szCs w:val="15"/>
                <w:highlight w:val="none"/>
              </w:rPr>
            </w:pPr>
          </w:p>
        </w:tc>
      </w:tr>
    </w:tbl>
    <w:p>
      <w:pPr>
        <w:widowControl/>
        <w:spacing w:line="240" w:lineRule="exact"/>
        <w:ind w:firstLine="360"/>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注：1、排放增减量：（+）表示增加，（-）表示减少。2、（12）＝（6）-（8）-（11），（9）＝（4）-（5）-（8）-（11）+（1）。3、计量单位：废水排放量——万吨/年；废气排放量——万标立方米/年；工业固体废物排放量——万吨/年；水污染物排放浓度——毫克/升</w:t>
      </w:r>
    </w:p>
    <w:p>
      <w:pPr>
        <w:outlineLvl w:val="0"/>
        <w:rPr>
          <w:rFonts w:hint="default" w:ascii="Times New Roman" w:hAnsi="Times New Roman" w:cs="Times New Roman"/>
          <w:b/>
          <w:color w:val="auto"/>
          <w:kern w:val="0"/>
          <w:sz w:val="30"/>
          <w:szCs w:val="22"/>
          <w:highlight w:val="none"/>
          <w:lang w:eastAsia="zh-CN"/>
        </w:rPr>
        <w:sectPr>
          <w:footerReference r:id="rId5" w:type="default"/>
          <w:pgSz w:w="16783" w:h="11850" w:orient="landscape"/>
          <w:pgMar w:top="720" w:right="720" w:bottom="720" w:left="72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color w:val="auto"/>
          <w:highlight w:val="none"/>
        </w:rPr>
      </w:pPr>
      <w:bookmarkStart w:id="68" w:name="_Toc15647_WPSOffice_Level1"/>
      <w:bookmarkStart w:id="69" w:name="_Toc16101_WPSOffice_Level1"/>
      <w:bookmarkStart w:id="70" w:name="_Toc5672_WPSOffice_Level1"/>
      <w:bookmarkStart w:id="71" w:name="_Toc30807_WPSOffice_Level1"/>
      <w:bookmarkStart w:id="72" w:name="_Toc29393_WPSOffice_Level1"/>
      <w:r>
        <w:rPr>
          <w:rFonts w:hint="default" w:ascii="Times New Roman" w:hAnsi="Times New Roman" w:cs="Times New Roman"/>
          <w:b/>
          <w:color w:val="auto"/>
          <w:kern w:val="0"/>
          <w:sz w:val="30"/>
          <w:szCs w:val="22"/>
          <w:highlight w:val="none"/>
          <w:lang w:eastAsia="zh-CN"/>
        </w:rPr>
        <w:t>附图</w:t>
      </w:r>
      <w:r>
        <w:rPr>
          <w:rFonts w:hint="default" w:ascii="Times New Roman" w:hAnsi="Times New Roman" w:cs="Times New Roman"/>
          <w:b/>
          <w:color w:val="auto"/>
          <w:kern w:val="0"/>
          <w:sz w:val="30"/>
          <w:szCs w:val="22"/>
          <w:highlight w:val="none"/>
          <w:lang w:val="en-US" w:eastAsia="zh-CN"/>
        </w:rPr>
        <w:t>1.项目地理位置图</w:t>
      </w:r>
      <w:bookmarkEnd w:id="66"/>
      <w:bookmarkEnd w:id="67"/>
      <w:bookmarkEnd w:id="68"/>
      <w:bookmarkEnd w:id="69"/>
      <w:bookmarkEnd w:id="70"/>
      <w:bookmarkEnd w:id="71"/>
      <w:bookmarkEnd w:id="72"/>
    </w:p>
    <w:p>
      <w:pPr>
        <w:keepNext w:val="0"/>
        <w:keepLines w:val="0"/>
        <w:widowControl/>
        <w:suppressLineNumbers w:val="0"/>
        <w:jc w:val="center"/>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"C:\\Users\\Administrator\\AppData\\Roaming\\Tencent\\Users\\1262662546\\QQ\\WinTemp\\RichOle\\}(5DBIL3`Z8]9N%QTU_0RO6.png"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33" o:spt="75" alt="IMG_256" type="#_x0000_t75" style="height:375.6pt;width:509.05pt;" filled="f" o:preferrelative="t" stroked="f" coordsize="21600,21600">
            <v:path/>
            <v:fill on="f" focussize="0,0"/>
            <v:stroke on="f"/>
            <v:imagedata r:id="rId17"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jc w:val="center"/>
        <w:rPr>
          <w:rFonts w:hint="default" w:ascii="Times New Roman" w:hAnsi="Times New Roman" w:eastAsia="宋体" w:cs="Times New Roman"/>
          <w:color w:val="auto"/>
          <w:highlight w:val="none"/>
          <w:lang w:eastAsia="zh-CN"/>
        </w:rPr>
        <w:sectPr>
          <w:footerReference r:id="rId6"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lang w:val="en-US" w:eastAsia="zh-CN"/>
        </w:rPr>
      </w:pPr>
      <w:bookmarkStart w:id="73" w:name="_Toc2928_WPSOffice_Level1"/>
      <w:bookmarkStart w:id="74" w:name="_Toc3978_WPSOffice_Level1"/>
      <w:bookmarkStart w:id="75" w:name="_Toc19368_WPSOffice_Level1"/>
      <w:bookmarkStart w:id="76" w:name="_Toc5990_WPSOffice_Level1"/>
      <w:bookmarkStart w:id="77" w:name="_Toc8303_WPSOffice_Level1"/>
      <w:bookmarkStart w:id="78" w:name="_Toc10053_WPSOffice_Level1"/>
      <w:bookmarkStart w:id="79" w:name="_Toc25664_WPSOffice_Level1"/>
      <w:r>
        <w:rPr>
          <w:rFonts w:hint="default" w:ascii="Times New Roman" w:hAnsi="Times New Roman" w:cs="Times New Roman"/>
          <w:b/>
          <w:color w:val="auto"/>
          <w:kern w:val="0"/>
          <w:sz w:val="30"/>
          <w:szCs w:val="22"/>
          <w:highlight w:val="none"/>
          <w:lang w:val="en-US" w:eastAsia="zh-CN"/>
        </w:rPr>
        <w:t>附图2.现场照片</w:t>
      </w:r>
      <w:bookmarkEnd w:id="73"/>
      <w:bookmarkEnd w:id="74"/>
      <w:bookmarkEnd w:id="75"/>
      <w:bookmarkEnd w:id="76"/>
      <w:bookmarkEnd w:id="77"/>
      <w:bookmarkEnd w:id="78"/>
      <w:bookmarkEnd w:id="79"/>
    </w:p>
    <w:tbl>
      <w:tblPr>
        <w:tblStyle w:val="12"/>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4" o:spt="75" type="#_x0000_t75" style="height:294.9pt;width:165.85pt;" fillcolor="#FFFFFF" filled="f" o:preferrelative="t" stroked="f" coordsize="21600,21600">
                  <v:path/>
                  <v:fill on="f" color2="#FFFFFF" focussize="0,0"/>
                  <v:stroke on="f"/>
                  <v:imagedata r:id="rId18"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5" o:spt="75" type="#_x0000_t75" style="height:294.7pt;width:165.65pt;" fillcolor="#FFFFFF" filled="f" o:preferrelative="t" stroked="f" coordsize="21600,21600">
                  <v:path/>
                  <v:fill on="f" color2="#FFFFFF" focussize="0,0"/>
                  <v:stroke on="f"/>
                  <v:imagedata r:id="rId19"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粗格栅</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细格栅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6" o:spt="75" type="#_x0000_t75" style="height:294.4pt;width:165.6pt;" fillcolor="#FFFFFF" filled="f" o:preferrelative="t" stroked="f" coordsize="21600,21600">
                  <v:path/>
                  <v:fill on="f" color2="#FFFFFF" focussize="0,0"/>
                  <v:stroke on="f"/>
                  <v:imagedata r:id="rId20"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7" o:spt="75" type="#_x0000_t75" style="height:290.1pt;width:163.2pt;" fillcolor="#FFFFFF" filled="f" o:preferrelative="t" stroked="f" coordsize="21600,21600">
                  <v:path/>
                  <v:fill on="f" color2="#FFFFFF" focussize="0,0"/>
                  <v:stroke on="f"/>
                  <v:imagedata r:id="rId21"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CASS反应池</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污泥储罐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8" o:spt="75" type="#_x0000_t75" style="height:304.85pt;width:171.4pt;" fillcolor="#FFFFFF" filled="f" o:preferrelative="t" stroked="f" coordsize="21600,21600">
                  <v:path/>
                  <v:fill on="f" color2="#FFFFFF" focussize="0,0"/>
                  <v:stroke on="f"/>
                  <v:imagedata r:id="rId22"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39" o:spt="75" type="#_x0000_t75" style="height:305.65pt;width:171.9pt;" fillcolor="#FFFFFF" filled="f" o:preferrelative="t" stroked="f" coordsize="21600,21600">
                  <v:path/>
                  <v:fill on="f" color2="#FFFFFF" focussize="0,0"/>
                  <v:stroke on="f"/>
                  <v:imagedata r:id="rId23"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鼓风机房、减震基座、消声器</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消音器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40" o:spt="75" type="#_x0000_t75" style="height:306.95pt;width:172.65pt;" fillcolor="#FFFFFF" filled="f" o:preferrelative="t" stroked="f" coordsize="21600,21600">
                  <v:path/>
                  <v:fill on="f" color2="#FFFFFF" focussize="0,0"/>
                  <v:stroke on="f"/>
                  <v:imagedata r:id="rId24"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41" o:spt="75" type="#_x0000_t75" style="height:322.75pt;width:181.45pt;" fillcolor="#FFFFFF" filled="f" o:preferrelative="t" stroked="f" coordsize="21600,21600">
                  <v:path/>
                  <v:fill on="f" color2="#FFFFFF" focussize="0,0"/>
                  <v:stroke on="f"/>
                  <v:imagedata r:id="rId25"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光催化氧化+活性炭装置</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15.6m高排气筒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color w:val="auto"/>
                <w:highlight w:val="none"/>
                <w:lang w:eastAsia="zh-CN"/>
              </w:rPr>
            </w:pPr>
            <w:r>
              <w:rPr>
                <w:rFonts w:hint="default" w:ascii="Times New Roman" w:hAnsi="Times New Roman" w:eastAsia="宋体" w:cs="Times New Roman"/>
                <w:b/>
                <w:color w:val="auto"/>
                <w:kern w:val="0"/>
                <w:sz w:val="30"/>
                <w:szCs w:val="22"/>
                <w:highlight w:val="none"/>
                <w:lang w:val="en-US" w:eastAsia="zh-CN" w:bidi="ar-SA"/>
              </w:rPr>
              <w:pict>
                <v:shape id="_x0000_i1042" o:spt="75" type="#_x0000_t75" style="height:113.7pt;width:202.2pt;" fillcolor="#FFFFFF" filled="f" o:preferrelative="t" stroked="f" coordsize="21600,21600">
                  <v:path/>
                  <v:fill on="f" color2="#FFFFFF" focussize="0,0"/>
                  <v:stroke on="f"/>
                  <v:imagedata r:id="rId26"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color w:val="auto"/>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pict>
                <v:shape id="_x0000_i1043" o:spt="75" type="#_x0000_t75" style="height:113.7pt;width:202.2pt;" fillcolor="#FFFFFF" filled="f" o:preferrelative="t" stroked="f" coordsize="21600,21600">
                  <v:path/>
                  <v:fill on="f" color2="#FFFFFF" focussize="0,0"/>
                  <v:stroke on="f"/>
                  <v:imagedata r:id="rId27"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紫外线消毒间</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在线监测设备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kern w:val="2"/>
                <w:sz w:val="21"/>
                <w:szCs w:val="21"/>
                <w:highlight w:val="none"/>
                <w:lang w:val="en-US" w:eastAsia="zh-CN" w:bidi="ar-SA"/>
              </w:rPr>
              <w:pict>
                <v:shape id="_x0000_i1044" o:spt="75" type="#_x0000_t75" style="height:268.9pt;width:201.65pt;" fillcolor="#FFFFFF" filled="f" o:preferrelative="t" stroked="f" coordsize="21600,21600">
                  <v:path/>
                  <v:fill on="f" color2="#FFFFFF" focussize="0,0"/>
                  <v:stroke on="f"/>
                  <v:imagedata r:id="rId28"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color w:val="auto"/>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pict>
                <v:shape id="_x0000_i1045" o:spt="75" type="#_x0000_t75" style="height:113.7pt;width:202.2pt;" fillcolor="#FFFFFF" filled="f" o:preferrelative="t" stroked="f" coordsize="21600,21600">
                  <v:path/>
                  <v:fill on="f" color2="#FFFFFF" focussize="0,0"/>
                  <v:stroke on="f"/>
                  <v:imagedata r:id="rId29"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危险废废物暂存间</w:t>
            </w:r>
          </w:p>
        </w:tc>
        <w:tc>
          <w:tcPr>
            <w:tcW w:w="4261" w:type="dxa"/>
            <w:tcBorders>
              <w:tl2br w:val="nil"/>
              <w:tr2bl w:val="nil"/>
            </w:tcBorders>
            <w:vAlign w:val="center"/>
          </w:tcPr>
          <w:p>
            <w:pPr>
              <w:jc w:val="center"/>
              <w:outlineLvl w:val="0"/>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污泥脱水间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46" o:spt="75" type="#_x0000_t75" style="height:266.2pt;width:199.65pt;" fillcolor="#FFFFFF" filled="f" o:preferrelative="t" stroked="f" coordsize="21600,21600">
                  <v:path/>
                  <v:fill on="f" color2="#FFFFFF" focussize="0,0"/>
                  <v:stroke on="f"/>
                  <v:imagedata r:id="rId30" gain="65536f" blacklevel="0f" gamma="0" o:title=""/>
                  <o:lock v:ext="edit" position="f" selection="f" grouping="f" rotation="f" cropping="f" text="f" aspectratio="t"/>
                  <w10:wrap type="none"/>
                  <w10:anchorlock/>
                </v:shape>
              </w:pict>
            </w:r>
          </w:p>
        </w:tc>
        <w:tc>
          <w:tcPr>
            <w:tcW w:w="4261" w:type="dxa"/>
            <w:tcBorders>
              <w:tl2br w:val="nil"/>
              <w:tr2bl w:val="nil"/>
            </w:tcBorders>
            <w:vAlign w:val="center"/>
          </w:tcPr>
          <w:p>
            <w:pPr>
              <w:jc w:val="center"/>
              <w:outlineLvl w:val="0"/>
              <w:rPr>
                <w:rFonts w:hint="default" w:ascii="Times New Roman" w:hAnsi="Times New Roman" w:cs="Times New Roman"/>
                <w:color w:val="auto"/>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pict>
                <v:shape id="_x0000_i1047" o:spt="75" type="#_x0000_t75" style="height:266.2pt;width:199.65pt;" fillcolor="#FFFFFF" filled="f" o:preferrelative="t" stroked="f" coordsize="21600,21600">
                  <v:path/>
                  <v:fill on="f" color2="#FFFFFF" focussize="0,0"/>
                  <v:stroke on="f"/>
                  <v:imagedata r:id="rId31" gain="65536f" blacklevel="0f" gamma="0" o:title=""/>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4261" w:type="dxa"/>
            <w:tcBorders>
              <w:tl2br w:val="nil"/>
              <w:tr2bl w:val="nil"/>
            </w:tcBorders>
            <w:vAlign w:val="center"/>
          </w:tcPr>
          <w:p>
            <w:pPr>
              <w:jc w:val="center"/>
              <w:outlineLvl w:val="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控制柜</w:t>
            </w:r>
          </w:p>
        </w:tc>
        <w:tc>
          <w:tcPr>
            <w:tcW w:w="4261" w:type="dxa"/>
            <w:tcBorders>
              <w:tl2br w:val="nil"/>
              <w:tr2bl w:val="nil"/>
            </w:tcBorders>
            <w:vAlign w:val="center"/>
          </w:tcPr>
          <w:p>
            <w:pPr>
              <w:jc w:val="center"/>
              <w:outlineLvl w:val="0"/>
              <w:rPr>
                <w:rFonts w:hint="default" w:cs="Times New Roman"/>
                <w:color w:val="auto"/>
                <w:sz w:val="24"/>
                <w:szCs w:val="24"/>
                <w:highlight w:val="none"/>
                <w:lang w:eastAsia="zh-CN"/>
              </w:rPr>
            </w:pPr>
            <w:r>
              <w:rPr>
                <w:rFonts w:hint="eastAsia" w:cs="Times New Roman"/>
                <w:color w:val="auto"/>
                <w:sz w:val="24"/>
                <w:szCs w:val="24"/>
                <w:highlight w:val="none"/>
                <w:lang w:eastAsia="zh-CN"/>
              </w:rPr>
              <w:t>旋流沉砂器</w:t>
            </w:r>
          </w:p>
        </w:tc>
      </w:tr>
    </w:tbl>
    <w:p>
      <w:pPr>
        <w:outlineLvl w:val="0"/>
        <w:rPr>
          <w:rFonts w:hint="default" w:ascii="Times New Roman" w:hAnsi="Times New Roman" w:cs="Times New Roman"/>
          <w:b/>
          <w:color w:val="auto"/>
          <w:kern w:val="0"/>
          <w:sz w:val="30"/>
          <w:szCs w:val="22"/>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lang w:val="en-US" w:eastAsia="zh-CN"/>
        </w:rPr>
      </w:pPr>
      <w:bookmarkStart w:id="80" w:name="_Toc5005_WPSOffice_Level1"/>
      <w:bookmarkStart w:id="81" w:name="_Toc10860_WPSOffice_Level1"/>
      <w:bookmarkStart w:id="82" w:name="_Toc10389_WPSOffice_Level1"/>
      <w:bookmarkStart w:id="83" w:name="_Toc28981_WPSOffice_Level1"/>
      <w:bookmarkStart w:id="84" w:name="_Toc18721_WPSOffice_Level1"/>
      <w:bookmarkStart w:id="85" w:name="_Toc15830_WPSOffice_Level1"/>
      <w:bookmarkStart w:id="86" w:name="_Toc15197_WPSOffice_Level1"/>
      <w:r>
        <w:rPr>
          <w:rFonts w:hint="default" w:ascii="Times New Roman" w:hAnsi="Times New Roman" w:cs="Times New Roman"/>
          <w:b/>
          <w:color w:val="auto"/>
          <w:kern w:val="0"/>
          <w:sz w:val="30"/>
          <w:szCs w:val="22"/>
          <w:highlight w:val="none"/>
          <w:lang w:val="en-US" w:eastAsia="zh-CN"/>
        </w:rPr>
        <w:t>附图3.平面布置图</w:t>
      </w:r>
      <w:bookmarkEnd w:id="80"/>
      <w:bookmarkEnd w:id="81"/>
      <w:bookmarkEnd w:id="82"/>
      <w:bookmarkEnd w:id="83"/>
      <w:bookmarkEnd w:id="84"/>
      <w:bookmarkEnd w:id="85"/>
      <w:bookmarkEnd w:id="86"/>
    </w:p>
    <w:p>
      <w:pPr>
        <w:widowControl/>
        <w:jc w:val="center"/>
        <w:rPr>
          <w:color w:val="auto"/>
          <w:highlight w:val="none"/>
        </w:rPr>
      </w:pPr>
    </w:p>
    <w:p>
      <w:pPr>
        <w:keepNext w:val="0"/>
        <w:keepLines w:val="0"/>
        <w:widowControl/>
        <w:suppressLineNumbers w:val="0"/>
        <w:jc w:val="center"/>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"C:\\Users\\Administrator\\AppData\\Roaming\\Tencent\\Users\\1262662546\\QQ\\WinTemp\\RichOle\\U9S26NVUW$3LMUP{_5DL)(G.png"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pict>
          <v:shape id="_x0000_i1048" o:spt="75" alt="IMG_256" type="#_x0000_t75" style="height:357.35pt;width:574pt;" filled="f" o:preferrelative="t" stroked="f" coordsize="21600,21600">
            <v:path/>
            <v:fill on="f" focussize="0,0"/>
            <v:stroke on="f"/>
            <v:imagedata r:id="rId32" o:title="IMG_256"/>
            <o:lock v:ext="edit" aspectratio="t"/>
            <w10:wrap type="none"/>
            <w10:anchorlock/>
          </v:shape>
        </w:pict>
      </w:r>
      <w:r>
        <w:rPr>
          <w:rFonts w:ascii="宋体" w:hAnsi="宋体" w:eastAsia="宋体" w:cs="宋体"/>
          <w:kern w:val="0"/>
          <w:sz w:val="24"/>
          <w:szCs w:val="24"/>
          <w:lang w:val="en-US" w:eastAsia="zh-CN" w:bidi="ar"/>
        </w:rPr>
        <w:fldChar w:fldCharType="end"/>
      </w:r>
    </w:p>
    <w:p>
      <w:pPr>
        <w:widowControl/>
        <w:jc w:val="center"/>
        <w:rPr>
          <w:color w:val="auto"/>
          <w:highlight w:val="none"/>
        </w:rPr>
      </w:pPr>
    </w:p>
    <w:p>
      <w:pPr>
        <w:widowControl/>
        <w:jc w:val="center"/>
        <w:rPr>
          <w:rFonts w:ascii="宋体" w:hAnsi="宋体" w:eastAsia="宋体" w:cs="宋体"/>
          <w:color w:val="auto"/>
          <w:kern w:val="0"/>
          <w:sz w:val="24"/>
          <w:szCs w:val="24"/>
          <w:highlight w:val="none"/>
          <w:lang w:val="en-US" w:eastAsia="zh-CN"/>
        </w:rPr>
      </w:pPr>
    </w:p>
    <w:p>
      <w:pPr>
        <w:widowControl/>
        <w:jc w:val="center"/>
        <w:rPr>
          <w:color w:val="auto"/>
          <w:highlight w:val="none"/>
        </w:rPr>
      </w:pPr>
      <w:r>
        <w:rPr>
          <w:rFonts w:ascii="宋体" w:hAnsi="宋体" w:eastAsia="宋体" w:cs="宋体"/>
          <w:color w:val="auto"/>
          <w:kern w:val="0"/>
          <w:sz w:val="24"/>
          <w:szCs w:val="24"/>
          <w:highlight w:val="none"/>
          <w:lang w:val="en-US" w:eastAsia="zh-CN" w:bidi="ar-SA"/>
        </w:rPr>
        <w:pict>
          <v:shape id="_x0000_i1049" o:spt="75" type="#_x0000_t75" style="height:363.75pt;width:587.55pt;" fillcolor="#FFFFFF" filled="f" o:preferrelative="t" stroked="f" coordsize="21600,21600">
            <v:path/>
            <v:fill on="f" color2="#FFFFFF" focussize="0,0"/>
            <v:stroke on="f"/>
            <v:imagedata r:id="rId33" gain="65536f" blacklevel="0f" gamma="0" o:title=""/>
            <o:lock v:ext="edit" position="f" selection="f" grouping="f" rotation="f" cropping="f" text="f" aspectratio="t"/>
            <w10:wrap type="none"/>
            <w10:anchorlock/>
          </v:shape>
        </w:pict>
      </w:r>
    </w:p>
    <w:p>
      <w:pPr>
        <w:pStyle w:val="6"/>
        <w:rPr>
          <w:rFonts w:hint="default" w:ascii="Times New Roman" w:hAnsi="Times New Roman" w:cs="Times New Roman"/>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lang w:val="en-US" w:eastAsia="zh-CN"/>
        </w:rPr>
      </w:pPr>
      <w:bookmarkStart w:id="87" w:name="_Toc8317_WPSOffice_Level1"/>
      <w:bookmarkStart w:id="88" w:name="_Toc31273_WPSOffice_Level1"/>
      <w:bookmarkStart w:id="89" w:name="_Toc9211_WPSOffice_Level1"/>
      <w:bookmarkStart w:id="90" w:name="_Toc22981_WPSOffice_Level1"/>
      <w:bookmarkStart w:id="91" w:name="_Toc11599_WPSOffice_Level1"/>
      <w:bookmarkStart w:id="92" w:name="_Toc25651_WPSOffice_Level1"/>
      <w:bookmarkStart w:id="93" w:name="_Toc1924_WPSOffice_Level1"/>
      <w:r>
        <w:rPr>
          <w:rFonts w:hint="eastAsia" w:cs="Times New Roman"/>
          <w:b/>
          <w:color w:val="auto"/>
          <w:kern w:val="0"/>
          <w:sz w:val="30"/>
          <w:szCs w:val="22"/>
          <w:highlight w:val="none"/>
          <w:lang w:val="en-US" w:eastAsia="zh-CN"/>
        </w:rPr>
        <w:t>附图4.排水路线图</w:t>
      </w:r>
      <w:bookmarkEnd w:id="87"/>
      <w:bookmarkEnd w:id="88"/>
    </w:p>
    <w:p>
      <w:pPr>
        <w:keepNext w:val="0"/>
        <w:keepLines w:val="0"/>
        <w:widowControl/>
        <w:suppressLineNumbers w:val="0"/>
        <w:jc w:val="center"/>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"C:\\Users\\Administrator\\AppData\\Roaming\\Tencent\\Users\\1262662546\\QQ\\WinTemp\\RichOle\\18QU%ZPE~SQVC_P%$7SBEVW.png"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50" o:spt="75" alt="IMG_256" type="#_x0000_t75" style="height:366.25pt;width:661.45pt;" filled="f" o:preferrelative="t" stroked="f" coordsize="21600,21600">
            <v:path/>
            <v:fill on="f" focussize="0,0"/>
            <v:stroke on="f"/>
            <v:imagedata r:id="rId34"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keepNext w:val="0"/>
        <w:keepLines w:val="0"/>
        <w:widowControl/>
        <w:suppressLineNumbers w:val="0"/>
        <w:jc w:val="center"/>
        <w:rPr>
          <w:color w:val="auto"/>
          <w:highlight w:val="none"/>
        </w:rPr>
      </w:pPr>
    </w:p>
    <w:p>
      <w:pPr>
        <w:outlineLvl w:val="9"/>
        <w:rPr>
          <w:rFonts w:hint="default" w:ascii="Times New Roman" w:hAnsi="Times New Roman" w:cs="Times New Roman"/>
          <w:b/>
          <w:color w:val="auto"/>
          <w:kern w:val="0"/>
          <w:sz w:val="30"/>
          <w:szCs w:val="22"/>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outlineLvl w:val="0"/>
        <w:rPr>
          <w:rFonts w:hint="default" w:ascii="Times New Roman" w:hAnsi="Times New Roman" w:cs="Times New Roman"/>
          <w:b/>
          <w:color w:val="auto"/>
          <w:kern w:val="0"/>
          <w:sz w:val="30"/>
          <w:szCs w:val="22"/>
          <w:highlight w:val="none"/>
          <w:lang w:val="en-US" w:eastAsia="zh-CN"/>
        </w:rPr>
      </w:pPr>
      <w:bookmarkStart w:id="94" w:name="_Toc27800_WPSOffice_Level1"/>
      <w:bookmarkStart w:id="95" w:name="_Toc7311_WPSOffice_Level1"/>
      <w:r>
        <w:rPr>
          <w:rFonts w:hint="default" w:ascii="Times New Roman" w:hAnsi="Times New Roman" w:cs="Times New Roman"/>
          <w:b/>
          <w:color w:val="auto"/>
          <w:kern w:val="0"/>
          <w:sz w:val="30"/>
          <w:szCs w:val="22"/>
          <w:highlight w:val="none"/>
          <w:lang w:val="en-US" w:eastAsia="zh-CN"/>
        </w:rPr>
        <w:t>附件1.</w:t>
      </w:r>
      <w:bookmarkEnd w:id="89"/>
      <w:bookmarkEnd w:id="90"/>
      <w:bookmarkEnd w:id="91"/>
      <w:r>
        <w:rPr>
          <w:rFonts w:hint="eastAsia" w:cs="Times New Roman"/>
          <w:b/>
          <w:color w:val="auto"/>
          <w:kern w:val="0"/>
          <w:sz w:val="30"/>
          <w:szCs w:val="22"/>
          <w:highlight w:val="none"/>
          <w:lang w:val="en-US" w:eastAsia="zh-CN"/>
        </w:rPr>
        <w:t>环评批复</w:t>
      </w:r>
      <w:bookmarkEnd w:id="92"/>
      <w:bookmarkEnd w:id="93"/>
      <w:bookmarkEnd w:id="94"/>
      <w:bookmarkEnd w:id="95"/>
    </w:p>
    <w:p>
      <w:pPr>
        <w:jc w:val="center"/>
        <w:outlineLvl w:val="9"/>
        <w:rPr>
          <w:rFonts w:hint="default" w:ascii="Times New Roman" w:hAnsi="Times New Roman" w:cs="Times New Roman"/>
          <w:b/>
          <w:color w:val="auto"/>
          <w:kern w:val="0"/>
          <w:sz w:val="30"/>
          <w:szCs w:val="22"/>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b/>
          <w:color w:val="auto"/>
          <w:kern w:val="0"/>
          <w:sz w:val="30"/>
          <w:szCs w:val="22"/>
          <w:highlight w:val="none"/>
          <w:lang w:val="en-US" w:eastAsia="zh-CN" w:bidi="ar-SA"/>
        </w:rPr>
        <w:pict>
          <v:shape id="_x0000_i1051" o:spt="75" type="#_x0000_t75" style="height:589.7pt;width:392pt;" fillcolor="#FFFFFF" filled="f" o:preferrelative="t" stroked="f" coordsize="21600,21600">
            <v:path/>
            <v:fill on="f" color2="#FFFFFF" focussize="0,0"/>
            <v:stroke on="f"/>
            <v:imagedata r:id="rId35" croptop="10077f" gain="65536f" blacklevel="0f" gamma="0" o:title=""/>
            <o:lock v:ext="edit" position="f" selection="f" grouping="f" rotation="f" cropping="f" text="f" aspectratio="t"/>
            <w10:wrap type="none"/>
            <w10:anchorlock/>
          </v:shape>
        </w:pict>
      </w:r>
    </w:p>
    <w:p>
      <w:pPr>
        <w:outlineLvl w:val="0"/>
        <w:rPr>
          <w:rFonts w:hint="eastAsia" w:cs="Times New Roman"/>
          <w:b/>
          <w:color w:val="auto"/>
          <w:kern w:val="0"/>
          <w:sz w:val="30"/>
          <w:szCs w:val="22"/>
          <w:highlight w:val="none"/>
          <w:lang w:val="en-US" w:eastAsia="zh-CN"/>
        </w:rPr>
      </w:pPr>
      <w:bookmarkStart w:id="96" w:name="_Toc6461_WPSOffice_Level1"/>
      <w:bookmarkStart w:id="97" w:name="_Toc8854_WPSOffice_Level1"/>
      <w:bookmarkStart w:id="98" w:name="_Toc14687_WPSOffice_Level1"/>
      <w:bookmarkStart w:id="99" w:name="_Toc8958_WPSOffice_Level1"/>
      <w:bookmarkStart w:id="100" w:name="_Toc16375_WPSOffice_Level1"/>
      <w:bookmarkStart w:id="101" w:name="_Toc18313_WPSOffice_Level1"/>
      <w:bookmarkStart w:id="102" w:name="_Toc15398_WPSOffice_Level1"/>
      <w:r>
        <w:rPr>
          <w:rFonts w:hint="default" w:ascii="Times New Roman" w:hAnsi="Times New Roman" w:cs="Times New Roman"/>
          <w:b/>
          <w:color w:val="auto"/>
          <w:kern w:val="0"/>
          <w:sz w:val="30"/>
          <w:szCs w:val="22"/>
          <w:highlight w:val="none"/>
          <w:lang w:val="en-US" w:eastAsia="zh-CN"/>
        </w:rPr>
        <w:t>附件2.</w:t>
      </w:r>
      <w:bookmarkEnd w:id="96"/>
      <w:bookmarkEnd w:id="97"/>
      <w:bookmarkEnd w:id="98"/>
      <w:r>
        <w:rPr>
          <w:rFonts w:hint="eastAsia" w:cs="Times New Roman"/>
          <w:b/>
          <w:color w:val="auto"/>
          <w:kern w:val="0"/>
          <w:sz w:val="30"/>
          <w:szCs w:val="22"/>
          <w:highlight w:val="none"/>
          <w:lang w:val="en-US" w:eastAsia="zh-CN"/>
        </w:rPr>
        <w:t>污泥接收协议</w:t>
      </w:r>
      <w:bookmarkEnd w:id="99"/>
      <w:bookmarkEnd w:id="100"/>
      <w:bookmarkEnd w:id="101"/>
      <w:bookmarkEnd w:id="102"/>
    </w:p>
    <w:p>
      <w:pPr>
        <w:jc w:val="center"/>
        <w:outlineLvl w:val="9"/>
        <w:rPr>
          <w:rFonts w:hint="default" w:ascii="Times New Roman" w:hAnsi="Times New Roman" w:cs="Times New Roman"/>
          <w:b/>
          <w:color w:val="auto"/>
          <w:kern w:val="0"/>
          <w:sz w:val="30"/>
          <w:szCs w:val="22"/>
          <w:highlight w:val="none"/>
          <w:lang w:val="en-US" w:eastAsia="zh-CN"/>
        </w:rPr>
      </w:pPr>
      <w:r>
        <w:rPr>
          <w:rFonts w:hint="default" w:ascii="Times New Roman" w:hAnsi="Times New Roman" w:eastAsia="宋体" w:cs="Times New Roman"/>
          <w:b/>
          <w:color w:val="auto"/>
          <w:kern w:val="0"/>
          <w:sz w:val="30"/>
          <w:szCs w:val="22"/>
          <w:highlight w:val="none"/>
          <w:lang w:val="en-US" w:eastAsia="zh-CN" w:bidi="ar-SA"/>
        </w:rPr>
        <w:pict>
          <v:shape id="_x0000_i1052" o:spt="75" type="#_x0000_t75" style="height:634.9pt;width:402.7pt;" fillcolor="#FFFFFF" filled="f" o:preferrelative="t" stroked="f" coordsize="21600,21600">
            <v:path/>
            <v:fill on="f" color2="#FFFFFF" focussize="0,0"/>
            <v:stroke on="f"/>
            <v:imagedata r:id="rId36" croptop="7411f" gain="65536f" blacklevel="0f" gamma="0" o:title=""/>
            <o:lock v:ext="edit" position="f" selection="f" grouping="f" rotation="f" cropping="f" text="f" aspectratio="t"/>
            <w10:wrap type="none"/>
            <w10:anchorlock/>
          </v:shape>
        </w:pict>
      </w:r>
    </w:p>
    <w:p>
      <w:pPr>
        <w:outlineLvl w:val="9"/>
        <w:rPr>
          <w:rFonts w:hint="default" w:ascii="Times New Roman" w:hAnsi="Times New Roman" w:cs="Times New Roman"/>
          <w:b/>
          <w:color w:val="auto"/>
          <w:kern w:val="0"/>
          <w:sz w:val="30"/>
          <w:szCs w:val="22"/>
          <w:highlight w:val="none"/>
          <w:lang w:val="en-US" w:eastAsia="zh-CN"/>
        </w:rPr>
      </w:pPr>
    </w:p>
    <w:p>
      <w:pPr>
        <w:jc w:val="center"/>
        <w:outlineLvl w:val="0"/>
        <w:rPr>
          <w:rFonts w:hint="default" w:ascii="Times New Roman" w:hAnsi="Times New Roman" w:eastAsia="宋体" w:cs="Times New Roman"/>
          <w:b/>
          <w:color w:val="auto"/>
          <w:kern w:val="0"/>
          <w:sz w:val="30"/>
          <w:szCs w:val="22"/>
          <w:highlight w:val="none"/>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b/>
          <w:color w:val="auto"/>
          <w:kern w:val="0"/>
          <w:sz w:val="30"/>
          <w:szCs w:val="22"/>
          <w:highlight w:val="none"/>
          <w:lang w:val="en-US" w:eastAsia="zh-CN" w:bidi="ar-SA"/>
        </w:rPr>
        <w:pict>
          <v:shape id="_x0000_i1053" o:spt="75" type="#_x0000_t75" style="height:655.55pt;width:426.3pt;" fillcolor="#FFFFFF" filled="f" o:preferrelative="t" stroked="f" coordsize="21600,21600">
            <v:path/>
            <v:fill on="f" color2="#FFFFFF" focussize="0,0"/>
            <v:stroke on="f"/>
            <v:imagedata r:id="rId37" croptop="3884f" cropbottom="4966f" gain="65536f" blacklevel="0f" gamma="0" o:title=""/>
            <o:lock v:ext="edit" position="f" selection="f" grouping="f" rotation="f" cropping="f" text="f" aspectratio="t"/>
            <w10:wrap type="none"/>
            <w10:anchorlock/>
          </v:shape>
        </w:pict>
      </w:r>
    </w:p>
    <w:p>
      <w:pPr>
        <w:outlineLvl w:val="0"/>
        <w:rPr>
          <w:rFonts w:hint="eastAsia" w:cs="Times New Roman"/>
          <w:b/>
          <w:color w:val="auto"/>
          <w:kern w:val="0"/>
          <w:sz w:val="30"/>
          <w:szCs w:val="22"/>
          <w:highlight w:val="none"/>
          <w:lang w:val="en-US" w:eastAsia="zh-CN"/>
        </w:rPr>
      </w:pPr>
      <w:bookmarkStart w:id="103" w:name="_Toc29339_WPSOffice_Level1"/>
      <w:bookmarkStart w:id="104" w:name="_Toc19402_WPSOffice_Level1"/>
      <w:bookmarkStart w:id="105" w:name="_Toc29241_WPSOffice_Level1"/>
      <w:bookmarkStart w:id="106" w:name="_Toc5928_WPSOffice_Level1"/>
      <w:r>
        <w:rPr>
          <w:rFonts w:hint="default" w:ascii="Times New Roman" w:hAnsi="Times New Roman" w:cs="Times New Roman"/>
          <w:b/>
          <w:color w:val="auto"/>
          <w:kern w:val="0"/>
          <w:sz w:val="30"/>
          <w:szCs w:val="22"/>
          <w:highlight w:val="none"/>
          <w:lang w:val="en-US" w:eastAsia="zh-CN"/>
        </w:rPr>
        <w:t>附件</w:t>
      </w:r>
      <w:r>
        <w:rPr>
          <w:rFonts w:hint="eastAsia" w:cs="Times New Roman"/>
          <w:b/>
          <w:color w:val="auto"/>
          <w:kern w:val="0"/>
          <w:sz w:val="30"/>
          <w:szCs w:val="22"/>
          <w:highlight w:val="none"/>
          <w:lang w:val="en-US" w:eastAsia="zh-CN"/>
        </w:rPr>
        <w:t>3</w:t>
      </w:r>
      <w:r>
        <w:rPr>
          <w:rFonts w:hint="default" w:ascii="Times New Roman" w:hAnsi="Times New Roman" w:cs="Times New Roman"/>
          <w:b/>
          <w:color w:val="auto"/>
          <w:kern w:val="0"/>
          <w:sz w:val="30"/>
          <w:szCs w:val="22"/>
          <w:highlight w:val="none"/>
          <w:lang w:val="en-US" w:eastAsia="zh-CN"/>
        </w:rPr>
        <w:t>.</w:t>
      </w:r>
      <w:r>
        <w:rPr>
          <w:rFonts w:hint="eastAsia" w:cs="Times New Roman"/>
          <w:b/>
          <w:color w:val="auto"/>
          <w:kern w:val="0"/>
          <w:sz w:val="30"/>
          <w:szCs w:val="22"/>
          <w:highlight w:val="none"/>
          <w:lang w:val="en-US" w:eastAsia="zh-CN"/>
        </w:rPr>
        <w:t>实验室废液接收协议</w:t>
      </w:r>
      <w:bookmarkEnd w:id="103"/>
      <w:bookmarkEnd w:id="104"/>
      <w:bookmarkEnd w:id="105"/>
      <w:bookmarkEnd w:id="106"/>
    </w:p>
    <w:p>
      <w:pPr>
        <w:pStyle w:val="2"/>
        <w:ind w:left="0" w:leftChars="0" w:firstLine="0" w:firstLineChars="0"/>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楷体_GB2312" w:hAnsi="宋体" w:eastAsia="楷体_GB2312" w:cs="宋体"/>
          <w:b/>
          <w:color w:val="auto"/>
          <w:kern w:val="0"/>
          <w:sz w:val="28"/>
          <w:szCs w:val="21"/>
          <w:highlight w:val="none"/>
          <w:lang w:val="en-US" w:eastAsia="zh-CN" w:bidi="ar-SA"/>
        </w:rPr>
        <w:pict>
          <v:shape id="_x0000_i1054" o:spt="75" type="#_x0000_t75" style="height:552.9pt;width:414.65pt;" fillcolor="#FFFFFF" filled="f" o:preferrelative="t" stroked="f" coordsize="21600,21600">
            <v:path/>
            <v:fill on="f" color2="#FFFFFF" focussize="0,0"/>
            <v:stroke on="f"/>
            <v:imagedata r:id="rId38" gain="65536f" blacklevel="0f" gamma="0" o:title="c68789bbf3516b3255b91ba9ea6c97f"/>
            <o:lock v:ext="edit" position="f" selection="f" grouping="f" rotation="f" cropping="f" text="f" aspectratio="t"/>
            <w10:wrap type="none"/>
            <w10:anchorlock/>
          </v:shape>
        </w:pict>
      </w:r>
      <w:r>
        <w:rPr>
          <w:rFonts w:hint="default" w:ascii="楷体_GB2312" w:hAnsi="宋体" w:eastAsia="楷体_GB2312" w:cs="宋体"/>
          <w:b/>
          <w:color w:val="auto"/>
          <w:kern w:val="0"/>
          <w:sz w:val="28"/>
          <w:szCs w:val="21"/>
          <w:highlight w:val="none"/>
          <w:lang w:val="en-US" w:eastAsia="zh-CN" w:bidi="ar-SA"/>
        </w:rPr>
        <w:pict>
          <v:shape id="_x0000_i1055" o:spt="75" type="#_x0000_t75" style="height:552.9pt;width:414.65pt;" fillcolor="#FFFFFF" filled="f" o:preferrelative="t" stroked="f" coordsize="21600,21600">
            <v:path/>
            <v:fill on="f" color2="#FFFFFF" focussize="0,0"/>
            <v:stroke on="f"/>
            <v:imagedata r:id="rId39" gain="65536f" blacklevel="0f" gamma="0" o:title="3e88d4e345f7fa5a4800ee8042d793d"/>
            <o:lock v:ext="edit" position="f" selection="f" grouping="f" rotation="f" cropping="f" text="f" aspectratio="t"/>
            <w10:wrap type="none"/>
            <w10:anchorlock/>
          </v:shape>
        </w:pict>
      </w:r>
      <w:r>
        <w:rPr>
          <w:rFonts w:hint="default" w:ascii="楷体_GB2312" w:hAnsi="宋体" w:eastAsia="楷体_GB2312" w:cs="宋体"/>
          <w:b/>
          <w:color w:val="auto"/>
          <w:kern w:val="0"/>
          <w:sz w:val="28"/>
          <w:szCs w:val="21"/>
          <w:highlight w:val="none"/>
          <w:lang w:val="en-US" w:eastAsia="zh-CN" w:bidi="ar-SA"/>
        </w:rPr>
        <w:pict>
          <v:shape id="_x0000_i1056" o:spt="75" type="#_x0000_t75" style="height:552.9pt;width:414.65pt;" fillcolor="#FFFFFF" filled="f" o:preferrelative="t" stroked="f" coordsize="21600,21600">
            <v:path/>
            <v:fill on="f" color2="#FFFFFF" focussize="0,0"/>
            <v:stroke on="f"/>
            <v:imagedata r:id="rId40" gain="65536f" blacklevel="0f" gamma="0" o:title="85df6a8180b5a3d4e7abcaee455658c"/>
            <o:lock v:ext="edit" position="f" selection="f" grouping="f" rotation="f" cropping="f" text="f" aspectratio="t"/>
            <w10:wrap type="none"/>
            <w10:anchorlock/>
          </v:shape>
        </w:pict>
      </w:r>
      <w:r>
        <w:rPr>
          <w:rFonts w:hint="default" w:ascii="楷体_GB2312" w:hAnsi="宋体" w:eastAsia="楷体_GB2312" w:cs="宋体"/>
          <w:b/>
          <w:color w:val="auto"/>
          <w:kern w:val="0"/>
          <w:sz w:val="28"/>
          <w:szCs w:val="21"/>
          <w:highlight w:val="none"/>
          <w:lang w:val="en-US" w:eastAsia="zh-CN" w:bidi="ar-SA"/>
        </w:rPr>
        <w:pict>
          <v:shape id="_x0000_i1057" o:spt="75" type="#_x0000_t75" style="height:552.9pt;width:414.65pt;" fillcolor="#FFFFFF" filled="f" o:preferrelative="t" stroked="f" coordsize="21600,21600">
            <v:path/>
            <v:fill on="f" color2="#FFFFFF" focussize="0,0"/>
            <v:stroke on="f"/>
            <v:imagedata r:id="rId41" gain="65536f" blacklevel="0f" gamma="0" o:title="d361fd26f5ed80581dccbb7e138eeb2"/>
            <o:lock v:ext="edit" position="f" selection="f" grouping="f" rotation="f" cropping="f" text="f" aspectratio="t"/>
            <w10:wrap type="none"/>
            <w10:anchorlock/>
          </v:shape>
        </w:pict>
      </w:r>
      <w:r>
        <w:rPr>
          <w:rFonts w:hint="default" w:ascii="楷体_GB2312" w:hAnsi="宋体" w:eastAsia="楷体_GB2312" w:cs="宋体"/>
          <w:b/>
          <w:color w:val="auto"/>
          <w:kern w:val="0"/>
          <w:sz w:val="28"/>
          <w:szCs w:val="21"/>
          <w:highlight w:val="none"/>
          <w:lang w:val="en-US" w:eastAsia="zh-CN" w:bidi="ar-SA"/>
        </w:rPr>
        <w:pict>
          <v:shape id="_x0000_i1058" o:spt="75" type="#_x0000_t75" style="height:552.9pt;width:414.65pt;" fillcolor="#FFFFFF" filled="f" o:preferrelative="t" stroked="f" coordsize="21600,21600">
            <v:path/>
            <v:fill on="f" color2="#FFFFFF" focussize="0,0"/>
            <v:stroke on="f"/>
            <v:imagedata r:id="rId42" gain="65536f" blacklevel="0f" gamma="0" o:title="d2263ecad2940d4fe3c700d7bc1a208"/>
            <o:lock v:ext="edit" position="f" selection="f" grouping="f" rotation="f" cropping="f" text="f" aspectratio="t"/>
            <w10:wrap type="none"/>
            <w10:anchorlock/>
          </v:shape>
        </w:pict>
      </w:r>
    </w:p>
    <w:p>
      <w:pPr>
        <w:outlineLvl w:val="0"/>
        <w:rPr>
          <w:rFonts w:hint="default"/>
          <w:color w:val="auto"/>
          <w:highlight w:val="none"/>
          <w:lang w:val="en-US" w:eastAsia="zh-CN"/>
        </w:rPr>
      </w:pPr>
      <w:bookmarkStart w:id="107" w:name="_Toc21197_WPSOffice_Level1"/>
      <w:bookmarkStart w:id="108" w:name="_Toc29245_WPSOffice_Level1"/>
      <w:bookmarkStart w:id="109" w:name="_Toc21433_WPSOffice_Level1"/>
      <w:bookmarkStart w:id="110" w:name="_Toc5055_WPSOffice_Level1"/>
      <w:r>
        <w:rPr>
          <w:rFonts w:hint="default" w:ascii="Times New Roman" w:hAnsi="Times New Roman" w:cs="Times New Roman"/>
          <w:b/>
          <w:color w:val="auto"/>
          <w:kern w:val="0"/>
          <w:sz w:val="30"/>
          <w:szCs w:val="22"/>
          <w:highlight w:val="none"/>
          <w:lang w:val="en-US" w:eastAsia="zh-CN"/>
        </w:rPr>
        <w:t>附件</w:t>
      </w:r>
      <w:r>
        <w:rPr>
          <w:rFonts w:hint="eastAsia" w:cs="Times New Roman"/>
          <w:b/>
          <w:color w:val="auto"/>
          <w:kern w:val="0"/>
          <w:sz w:val="30"/>
          <w:szCs w:val="22"/>
          <w:highlight w:val="none"/>
          <w:lang w:val="en-US" w:eastAsia="zh-CN"/>
        </w:rPr>
        <w:t>4</w:t>
      </w:r>
      <w:r>
        <w:rPr>
          <w:rFonts w:hint="default" w:ascii="Times New Roman" w:hAnsi="Times New Roman" w:cs="Times New Roman"/>
          <w:b/>
          <w:color w:val="auto"/>
          <w:kern w:val="0"/>
          <w:sz w:val="30"/>
          <w:szCs w:val="22"/>
          <w:highlight w:val="none"/>
          <w:lang w:val="en-US" w:eastAsia="zh-CN"/>
        </w:rPr>
        <w:t>.</w:t>
      </w:r>
      <w:r>
        <w:rPr>
          <w:rFonts w:hint="eastAsia" w:cs="Times New Roman"/>
          <w:b/>
          <w:color w:val="auto"/>
          <w:kern w:val="0"/>
          <w:sz w:val="30"/>
          <w:szCs w:val="22"/>
          <w:highlight w:val="none"/>
          <w:lang w:val="en-US" w:eastAsia="zh-CN"/>
        </w:rPr>
        <w:t>哈尔滨国环医疗固体废物无害化集中处置中心有限公司营业执照</w:t>
      </w:r>
      <w:bookmarkEnd w:id="107"/>
      <w:bookmarkEnd w:id="108"/>
      <w:bookmarkEnd w:id="109"/>
      <w:bookmarkEnd w:id="110"/>
    </w:p>
    <w:p>
      <w:pPr>
        <w:pStyle w:val="2"/>
        <w:ind w:left="0" w:leftChars="0" w:firstLine="0" w:firstLineChars="0"/>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楷体_GB2312" w:hAnsi="宋体" w:eastAsia="楷体_GB2312" w:cs="宋体"/>
          <w:b/>
          <w:color w:val="auto"/>
          <w:kern w:val="0"/>
          <w:sz w:val="28"/>
          <w:szCs w:val="21"/>
          <w:highlight w:val="none"/>
          <w:lang w:val="en-US" w:eastAsia="zh-CN" w:bidi="ar-SA"/>
        </w:rPr>
        <w:pict>
          <v:shape id="_x0000_i1059" o:spt="75" type="#_x0000_t75" style="height:599.95pt;width:412.45pt;" fillcolor="#FFFFFF" filled="f" o:preferrelative="t" stroked="f" coordsize="21600,21600">
            <v:path/>
            <v:fill on="f" color2="#FFFFFF" focussize="0,0"/>
            <v:stroke on="f"/>
            <v:imagedata r:id="rId43" gain="65536f" blacklevel="0f" gamma="0" o:title="4b57b2d767ed5eadaf4450d41b683aa"/>
            <o:lock v:ext="edit" position="f" selection="f" grouping="f" rotation="f" cropping="f" text="f" aspectratio="t"/>
            <w10:wrap type="none"/>
            <w10:anchorlock/>
          </v:shape>
        </w:pict>
      </w:r>
    </w:p>
    <w:p>
      <w:pPr>
        <w:outlineLvl w:val="0"/>
        <w:rPr>
          <w:rFonts w:hint="default"/>
          <w:color w:val="auto"/>
          <w:highlight w:val="none"/>
          <w:lang w:val="en-US" w:eastAsia="zh-CN"/>
        </w:rPr>
      </w:pPr>
      <w:bookmarkStart w:id="111" w:name="_Toc7454_WPSOffice_Level1"/>
      <w:bookmarkStart w:id="112" w:name="_Toc4809_WPSOffice_Level1"/>
      <w:bookmarkStart w:id="113" w:name="_Toc3767_WPSOffice_Level1"/>
      <w:bookmarkStart w:id="114" w:name="_Toc9421_WPSOffice_Level1"/>
      <w:r>
        <w:rPr>
          <w:rFonts w:hint="eastAsia" w:cs="Times New Roman"/>
          <w:b/>
          <w:color w:val="auto"/>
          <w:kern w:val="0"/>
          <w:sz w:val="30"/>
          <w:szCs w:val="22"/>
          <w:highlight w:val="none"/>
          <w:lang w:val="en-US" w:eastAsia="zh-CN"/>
        </w:rPr>
        <w:t>附件5.哈尔滨国环医疗固体废物无害化集中处置中心有限公司危险废物经营许可证</w:t>
      </w:r>
      <w:bookmarkEnd w:id="111"/>
      <w:bookmarkEnd w:id="112"/>
      <w:bookmarkEnd w:id="113"/>
      <w:bookmarkEnd w:id="114"/>
    </w:p>
    <w:p>
      <w:pPr>
        <w:jc w:val="center"/>
        <w:outlineLvl w:val="0"/>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ascii="Times New Roman" w:hAnsi="Times New Roman" w:eastAsia="宋体" w:cs="Times New Roman"/>
          <w:color w:val="auto"/>
          <w:kern w:val="2"/>
          <w:sz w:val="21"/>
          <w:szCs w:val="21"/>
          <w:highlight w:val="none"/>
          <w:lang w:val="en-US" w:eastAsia="zh-CN" w:bidi="ar-SA"/>
        </w:rPr>
        <w:pict>
          <v:shape id="_x0000_i1060" o:spt="75" type="#_x0000_t75" style="height:365.75pt;width:531.95pt;" fillcolor="#FFFFFF" filled="f" o:preferrelative="t" stroked="f" coordsize="21600,21600">
            <v:path/>
            <v:fill on="f" color2="#FFFFFF" focussize="0,0"/>
            <v:stroke on="f"/>
            <v:imagedata r:id="rId44" gain="65536f" blacklevel="0f" gamma="0" o:title="9650d148f069bcd3151d1d6f8526ef7"/>
            <o:lock v:ext="edit" position="f" selection="f" grouping="f" rotation="f" cropping="f" text="f" aspectratio="t"/>
            <w10:wrap type="none"/>
            <w10:anchorlock/>
          </v:shape>
        </w:pict>
      </w:r>
      <w:bookmarkStart w:id="115" w:name="_Toc7630_WPSOffice_Level1"/>
      <w:bookmarkStart w:id="116" w:name="_Toc32242_WPSOffice_Level1"/>
      <w:bookmarkStart w:id="117" w:name="_Toc23962_WPSOffice_Level1"/>
    </w:p>
    <w:p>
      <w:pPr>
        <w:outlineLvl w:val="0"/>
        <w:rPr>
          <w:rFonts w:hint="eastAsia" w:cs="Times New Roman"/>
          <w:b/>
          <w:color w:val="auto"/>
          <w:kern w:val="0"/>
          <w:sz w:val="30"/>
          <w:szCs w:val="22"/>
          <w:highlight w:val="none"/>
          <w:lang w:val="en-US" w:eastAsia="zh-CN"/>
        </w:rPr>
      </w:pPr>
      <w:bookmarkStart w:id="118" w:name="_Toc30594_WPSOffice_Level1"/>
      <w:bookmarkStart w:id="119" w:name="_Toc20458_WPSOffice_Level1"/>
      <w:bookmarkStart w:id="120" w:name="_Toc20565_WPSOffice_Level1"/>
      <w:bookmarkStart w:id="121" w:name="_Toc32540_WPSOffice_Level1"/>
      <w:r>
        <w:rPr>
          <w:rFonts w:hint="eastAsia" w:cs="Times New Roman"/>
          <w:b/>
          <w:color w:val="auto"/>
          <w:kern w:val="0"/>
          <w:sz w:val="30"/>
          <w:szCs w:val="22"/>
          <w:highlight w:val="none"/>
          <w:lang w:val="en-US" w:eastAsia="zh-CN"/>
        </w:rPr>
        <w:t>附件6.应急预案备案表</w:t>
      </w:r>
      <w:bookmarkEnd w:id="118"/>
      <w:bookmarkEnd w:id="119"/>
      <w:bookmarkEnd w:id="120"/>
      <w:bookmarkEnd w:id="121"/>
    </w:p>
    <w:p>
      <w:pPr>
        <w:pStyle w:val="2"/>
        <w:ind w:left="0" w:leftChars="0" w:firstLine="0" w:firstLineChars="0"/>
        <w:rPr>
          <w:rFonts w:hint="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color w:val="auto"/>
          <w:highlight w:val="none"/>
          <w:lang w:val="en-US" w:eastAsia="zh-CN"/>
        </w:rPr>
        <w:pict>
          <v:shape id="_x0000_i1061" o:spt="75" alt="f51b3e7ba45cb93f1305fa5c3d95590" type="#_x0000_t75" style="height:654pt;width:414.65pt;" filled="f" o:preferrelative="t" stroked="f" coordsize="21600,21600">
            <v:path/>
            <v:fill on="f" focussize="0,0"/>
            <v:stroke on="f"/>
            <v:imagedata r:id="rId45" croptop="7396f" o:title="f51b3e7ba45cb93f1305fa5c3d95590"/>
            <o:lock v:ext="edit" aspectratio="t"/>
            <w10:wrap type="none"/>
            <w10:anchorlock/>
          </v:shape>
        </w:pict>
      </w:r>
    </w:p>
    <w:p>
      <w:pPr>
        <w:outlineLvl w:val="0"/>
        <w:rPr>
          <w:rFonts w:hint="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color w:val="auto"/>
          <w:highlight w:val="none"/>
          <w:lang w:val="en-US" w:eastAsia="zh-CN"/>
        </w:rPr>
        <w:pict>
          <v:shape id="_x0000_i1062" o:spt="75" alt="b26dc99c3073a3b98efff61e01ca3e3" type="#_x0000_t75" style="height:639.95pt;width:409.35pt;" filled="f" o:preferrelative="t" stroked="f" coordsize="21600,21600">
            <v:path/>
            <v:fill on="f" focussize="0,0"/>
            <v:stroke on="f"/>
            <v:imagedata r:id="rId46" croptop="9374f" cropright="1667f" o:title="b26dc99c3073a3b98efff61e01ca3e3"/>
            <o:lock v:ext="edit" aspectratio="t"/>
            <w10:wrap type="none"/>
            <w10:anchorlock/>
          </v:shape>
        </w:pict>
      </w:r>
      <w:bookmarkEnd w:id="115"/>
      <w:bookmarkEnd w:id="116"/>
      <w:bookmarkEnd w:id="117"/>
    </w:p>
    <w:p>
      <w:pPr>
        <w:outlineLvl w:val="0"/>
        <w:rPr>
          <w:rFonts w:hint="default"/>
          <w:color w:val="auto"/>
          <w:highlight w:val="none"/>
          <w:lang w:val="en-US" w:eastAsia="zh-CN"/>
        </w:rPr>
      </w:pPr>
      <w:bookmarkStart w:id="122" w:name="_Toc20015_WPSOffice_Level1"/>
      <w:bookmarkStart w:id="123" w:name="_Toc18173_WPSOffice_Level1"/>
      <w:r>
        <w:rPr>
          <w:rFonts w:hint="eastAsia" w:cs="Times New Roman"/>
          <w:b/>
          <w:color w:val="auto"/>
          <w:kern w:val="0"/>
          <w:sz w:val="30"/>
          <w:szCs w:val="22"/>
          <w:highlight w:val="none"/>
          <w:lang w:val="en-US" w:eastAsia="zh-CN"/>
        </w:rPr>
        <w:t>附件7.隐蔽工程施工质量验收记录</w:t>
      </w:r>
      <w:bookmarkEnd w:id="122"/>
      <w:bookmarkEnd w:id="123"/>
    </w:p>
    <w:p>
      <w:pPr>
        <w:pStyle w:val="2"/>
        <w:ind w:left="0" w:leftChars="0" w:firstLine="0" w:firstLineChars="0"/>
        <w:rPr>
          <w:rFonts w:hint="default"/>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color w:val="auto"/>
          <w:highlight w:val="none"/>
          <w:lang w:val="en-US" w:eastAsia="zh-CN"/>
        </w:rPr>
        <w:pict>
          <v:shape id="_x0000_i1063" o:spt="75" alt="591173441679592994" type="#_x0000_t75" style="height:510.85pt;width:390.65pt;" filled="f" o:preferrelative="t" stroked="f" coordsize="21600,21600">
            <v:path/>
            <v:fill on="f" focussize="0,0"/>
            <v:stroke on="f"/>
            <v:imagedata r:id="rId47" croptop="4984f" cropright="3793f" o:title="591173441679592994"/>
            <o:lock v:ext="edit" aspectratio="t"/>
            <w10:wrap type="none"/>
            <w10:anchorlock/>
          </v:shape>
        </w:pict>
      </w:r>
      <w:r>
        <w:rPr>
          <w:rFonts w:hint="default"/>
          <w:color w:val="auto"/>
          <w:highlight w:val="none"/>
          <w:lang w:val="en-US" w:eastAsia="zh-CN"/>
        </w:rPr>
        <w:pict>
          <v:shape id="_x0000_i1064" o:spt="75" alt="163696436289552899" type="#_x0000_t75" style="height:414.75pt;width:553pt;rotation:-5898240f;" filled="f" o:preferrelative="t" stroked="f" coordsize="21600,21600">
            <v:path/>
            <v:fill on="f" focussize="0,0"/>
            <v:stroke on="f"/>
            <v:imagedata r:id="rId48" o:title="163696436289552899"/>
            <o:lock v:ext="edit" aspectratio="t"/>
            <w10:wrap type="none"/>
            <w10:anchorlock/>
          </v:shape>
        </w:pict>
      </w:r>
      <w:r>
        <w:rPr>
          <w:rFonts w:hint="default"/>
          <w:color w:val="auto"/>
          <w:highlight w:val="none"/>
          <w:lang w:val="en-US" w:eastAsia="zh-CN"/>
        </w:rPr>
        <w:pict>
          <v:shape id="_x0000_i1065" o:spt="75" alt="631587059330002491" type="#_x0000_t75" style="height:408.3pt;width:544.35pt;rotation:5898240f;" filled="f" o:preferrelative="t" stroked="f" coordsize="21600,21600">
            <v:path/>
            <v:fill on="f" focussize="0,0"/>
            <v:stroke on="f"/>
            <v:imagedata r:id="rId49" o:title="631587059330002491"/>
            <o:lock v:ext="edit" aspectratio="t"/>
            <w10:wrap type="none"/>
            <w10:anchorlock/>
          </v:shape>
        </w:pict>
      </w:r>
    </w:p>
    <w:p>
      <w:pPr>
        <w:outlineLvl w:val="0"/>
        <w:rPr>
          <w:rFonts w:hint="default"/>
          <w:color w:val="auto"/>
          <w:highlight w:val="none"/>
          <w:lang w:val="en-US" w:eastAsia="zh-CN"/>
        </w:rPr>
      </w:pPr>
      <w:r>
        <w:rPr>
          <w:rFonts w:hint="eastAsia" w:cs="Times New Roman"/>
          <w:b/>
          <w:color w:val="auto"/>
          <w:kern w:val="0"/>
          <w:sz w:val="30"/>
          <w:szCs w:val="22"/>
          <w:highlight w:val="none"/>
          <w:lang w:val="en-US" w:eastAsia="zh-CN"/>
        </w:rPr>
        <w:t>附件8.二道河农场污水处理工程施工许可证</w:t>
      </w:r>
    </w:p>
    <w:p>
      <w:pPr>
        <w:pStyle w:val="2"/>
        <w:ind w:left="0" w:leftChars="0" w:firstLine="0" w:firstLineChars="0"/>
        <w:jc w:val="center"/>
        <w:rPr>
          <w:rFonts w:hint="default"/>
          <w:color w:val="auto"/>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default"/>
          <w:color w:val="auto"/>
          <w:highlight w:val="none"/>
          <w:lang w:val="en-US" w:eastAsia="zh-CN"/>
        </w:rPr>
        <w:pict>
          <v:shape id="_x0000_i1066" o:spt="75" alt="二道河污水处理厂施工许可证" type="#_x0000_t75" style="height:367.5pt;width:529.7pt;" filled="f" o:preferrelative="t" stroked="f" coordsize="21600,21600">
            <v:path/>
            <v:fill on="f" focussize="0,0"/>
            <v:stroke on="f"/>
            <v:imagedata r:id="rId50" o:title="二道河污水处理厂施工许可证"/>
            <o:lock v:ext="edit" aspectratio="t"/>
            <w10:wrap type="none"/>
            <w10:anchorlock/>
          </v:shape>
        </w:pict>
      </w:r>
    </w:p>
    <w:p>
      <w:pPr>
        <w:outlineLvl w:val="0"/>
        <w:rPr>
          <w:rFonts w:hint="eastAsia" w:cs="Times New Roman"/>
          <w:b/>
          <w:color w:val="auto"/>
          <w:kern w:val="0"/>
          <w:sz w:val="30"/>
          <w:szCs w:val="22"/>
          <w:highlight w:val="none"/>
          <w:lang w:val="en-US" w:eastAsia="zh-CN"/>
        </w:rPr>
      </w:pPr>
      <w:r>
        <w:rPr>
          <w:rFonts w:hint="eastAsia" w:cs="Times New Roman"/>
          <w:b/>
          <w:color w:val="auto"/>
          <w:kern w:val="0"/>
          <w:sz w:val="30"/>
          <w:szCs w:val="22"/>
          <w:highlight w:val="none"/>
          <w:lang w:val="en-US" w:eastAsia="zh-CN"/>
        </w:rPr>
        <w:t>附件9.竣工验收备案证书</w:t>
      </w:r>
    </w:p>
    <w:p>
      <w:pPr>
        <w:outlineLvl w:val="0"/>
        <w:rPr>
          <w:rFonts w:hint="eastAsia" w:cs="Times New Roman"/>
          <w:b/>
          <w:color w:val="auto"/>
          <w:kern w:val="0"/>
          <w:sz w:val="30"/>
          <w:szCs w:val="22"/>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cs="Times New Roman"/>
          <w:b/>
          <w:color w:val="auto"/>
          <w:kern w:val="0"/>
          <w:sz w:val="30"/>
          <w:szCs w:val="22"/>
          <w:highlight w:val="none"/>
          <w:lang w:val="en-US" w:eastAsia="zh-CN"/>
        </w:rPr>
        <w:pict>
          <v:shape id="_x0000_i1067" o:spt="75" alt="二道河污水处理厂竣工验收备案 证书" type="#_x0000_t75" style="height:286pt;width:414.2pt;" filled="f" o:preferrelative="t" stroked="f" coordsize="21600,21600">
            <v:path/>
            <v:fill on="f" focussize="0,0"/>
            <v:stroke on="f"/>
            <v:imagedata r:id="rId51" o:title="二道河污水处理厂竣工验收备案 证书"/>
            <o:lock v:ext="edit" aspectratio="t"/>
            <w10:wrap type="none"/>
            <w10:anchorlock/>
          </v:shape>
        </w:pict>
      </w:r>
    </w:p>
    <w:p>
      <w:pPr>
        <w:outlineLvl w:val="0"/>
        <w:rPr>
          <w:rFonts w:ascii="宋体" w:hAnsi="宋体" w:eastAsia="宋体" w:cs="宋体"/>
          <w:color w:val="auto"/>
          <w:kern w:val="0"/>
          <w:sz w:val="24"/>
          <w:szCs w:val="24"/>
          <w:highlight w:val="none"/>
          <w:lang w:val="en-US" w:eastAsia="zh-CN" w:bidi="ar"/>
        </w:rPr>
      </w:pPr>
      <w:r>
        <w:rPr>
          <w:rFonts w:hint="eastAsia" w:cs="Times New Roman"/>
          <w:b/>
          <w:color w:val="auto"/>
          <w:kern w:val="0"/>
          <w:sz w:val="30"/>
          <w:szCs w:val="22"/>
          <w:highlight w:val="none"/>
          <w:lang w:val="en-US" w:eastAsia="zh-CN"/>
        </w:rPr>
        <w:t>附件10.环保设施采购票据</w:t>
      </w:r>
    </w:p>
    <w:p>
      <w:pPr>
        <w:keepNext w:val="0"/>
        <w:keepLines w:val="0"/>
        <w:widowControl/>
        <w:suppressLineNumbers w:val="0"/>
        <w:jc w:val="left"/>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"C:\\Users\\Administrator\\Documents\\Tencent Files\\1262662546\\Image\\C2C\\1Y66G}6OQJ_LDKAJR[H3]NW.jpg"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68" o:spt="75" alt="IMG_256" type="#_x0000_t75" style="height:407.85pt;width:227.35pt;rotation:-5898240f;" filled="f" o:preferrelative="t" stroked="f" coordsize="21600,21600">
            <v:path/>
            <v:fill on="f" focussize="0,0"/>
            <v:stroke on="f"/>
            <v:imagedata r:id="rId52" cropleft="14334f" croptop="-70f" cropright="3474f" cropbottom="1417f"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keepNext w:val="0"/>
        <w:keepLines w:val="0"/>
        <w:widowControl/>
        <w:suppressLineNumbers w:val="0"/>
        <w:jc w:val="left"/>
        <w:rPr>
          <w:rFonts w:ascii="宋体" w:hAnsi="宋体" w:eastAsia="宋体" w:cs="宋体"/>
          <w:color w:val="auto"/>
          <w:kern w:val="0"/>
          <w:sz w:val="24"/>
          <w:szCs w:val="24"/>
          <w:highlight w:val="none"/>
          <w:lang w:val="en-US" w:eastAsia="zh-CN" w:bidi="ar"/>
        </w:rPr>
      </w:pPr>
    </w:p>
    <w:p>
      <w:pPr>
        <w:keepNext w:val="0"/>
        <w:keepLines w:val="0"/>
        <w:widowControl/>
        <w:suppressLineNumbers w:val="0"/>
        <w:jc w:val="left"/>
        <w:rPr>
          <w:color w:val="auto"/>
          <w:highlight w:val="none"/>
        </w:rPr>
      </w:pPr>
      <w:r>
        <w:rPr>
          <w:rFonts w:ascii="宋体" w:hAnsi="宋体" w:eastAsia="宋体" w:cs="宋体"/>
          <w:color w:val="auto"/>
          <w:kern w:val="0"/>
          <w:sz w:val="24"/>
          <w:szCs w:val="24"/>
          <w:highlight w:val="none"/>
          <w:lang w:val="en-US" w:eastAsia="zh-CN" w:bidi="ar"/>
        </w:rPr>
        <w:fldChar w:fldCharType="begin"/>
      </w:r>
      <w:r>
        <w:rPr>
          <w:rFonts w:ascii="宋体" w:hAnsi="宋体" w:eastAsia="宋体" w:cs="宋体"/>
          <w:color w:val="auto"/>
          <w:kern w:val="0"/>
          <w:sz w:val="24"/>
          <w:szCs w:val="24"/>
          <w:highlight w:val="none"/>
          <w:lang w:val="en-US" w:eastAsia="zh-CN" w:bidi="ar"/>
        </w:rPr>
        <w:instrText xml:space="preserve">INCLUDEPICTURE \d "C:\\Users\\Administrator\\Documents\\Tencent Files\\1262662546\\Image\\C2C\\_HPV`$IL[%}I6)~W[7(PALI.jpg" \* MERGEFORMATINET </w:instrText>
      </w:r>
      <w:r>
        <w:rPr>
          <w:rFonts w:ascii="宋体" w:hAnsi="宋体" w:eastAsia="宋体" w:cs="宋体"/>
          <w:color w:val="auto"/>
          <w:kern w:val="0"/>
          <w:sz w:val="24"/>
          <w:szCs w:val="24"/>
          <w:highlight w:val="none"/>
          <w:lang w:val="en-US" w:eastAsia="zh-CN" w:bidi="ar"/>
        </w:rPr>
        <w:fldChar w:fldCharType="separate"/>
      </w:r>
      <w:r>
        <w:rPr>
          <w:rFonts w:ascii="宋体" w:hAnsi="宋体" w:eastAsia="宋体" w:cs="宋体"/>
          <w:color w:val="auto"/>
          <w:kern w:val="0"/>
          <w:sz w:val="24"/>
          <w:szCs w:val="24"/>
          <w:highlight w:val="none"/>
          <w:lang w:val="en-US" w:eastAsia="zh-CN" w:bidi="ar"/>
        </w:rPr>
        <w:pict>
          <v:shape id="_x0000_i1069" o:spt="75" alt="IMG_256" type="#_x0000_t75" style="height:407.85pt;width:246.7pt;rotation:-5898240f;" filled="f" o:preferrelative="t" stroked="f" coordsize="21600,21600">
            <v:path/>
            <v:fill on="f" focussize="0,0"/>
            <v:stroke on="f"/>
            <v:imagedata r:id="rId53" cropleft="12683f" o:title="IMG_256"/>
            <o:lock v:ext="edit" aspectratio="t"/>
            <w10:wrap type="none"/>
            <w10:anchorlock/>
          </v:shape>
        </w:pict>
      </w:r>
      <w:r>
        <w:rPr>
          <w:rFonts w:ascii="宋体" w:hAnsi="宋体" w:eastAsia="宋体" w:cs="宋体"/>
          <w:color w:val="auto"/>
          <w:kern w:val="0"/>
          <w:sz w:val="24"/>
          <w:szCs w:val="24"/>
          <w:highlight w:val="none"/>
          <w:lang w:val="en-US" w:eastAsia="zh-CN" w:bidi="ar"/>
        </w:rPr>
        <w:fldChar w:fldCharType="end"/>
      </w:r>
    </w:p>
    <w:p>
      <w:pPr>
        <w:pStyle w:val="2"/>
        <w:ind w:left="0" w:leftChars="0" w:firstLine="0" w:firstLineChars="0"/>
        <w:jc w:val="both"/>
        <w:rPr>
          <w:rFonts w:hint="default"/>
          <w:color w:val="auto"/>
          <w:highlight w:val="none"/>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Times New Roman" w:hAnsi="Times New Roman" w:eastAsia="宋体" w:cs="Times New Roman"/>
        <w:kern w:val="2"/>
        <w:sz w:val="18"/>
        <w:szCs w:val="18"/>
        <w:lang w:val="en-US" w:eastAsia="zh-CN" w:bidi="ar-SA"/>
      </w:rPr>
      <w:pict>
        <v:rect id="文本框 26" o:spid="_x0000_s2054" o:spt="1" style="position:absolute;left:0pt;margin-top:0pt;height:144pt;width:144pt;mso-position-horizontal:center;mso-position-horizontal-relative:margin;mso-wrap-style:none;z-index:251681792;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Times New Roman" w:hAnsi="Times New Roman" w:eastAsia="宋体" w:cs="Times New Roman"/>
        <w:kern w:val="2"/>
        <w:sz w:val="18"/>
        <w:szCs w:val="18"/>
        <w:lang w:val="en-US" w:eastAsia="zh-CN" w:bidi="ar-SA"/>
      </w:rPr>
      <w:pict>
        <v:rect id="文本框 9" o:spid="_x0000_s2051" o:spt="1" style="position:absolute;left:0pt;margin-top:0pt;height:144pt;width:144pt;mso-position-horizontal:center;mso-position-horizontal-relative:margin;mso-wrap-style:none;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4FBF04"/>
    <w:multiLevelType w:val="singleLevel"/>
    <w:tmpl w:val="C24FBF04"/>
    <w:lvl w:ilvl="0" w:tentative="0">
      <w:start w:val="1"/>
      <w:numFmt w:val="chineseCounting"/>
      <w:suff w:val="nothing"/>
      <w:lvlText w:val="%1、"/>
      <w:lvlJc w:val="left"/>
      <w:rPr>
        <w:rFonts w:hint="eastAsia"/>
      </w:rPr>
    </w:lvl>
  </w:abstractNum>
  <w:abstractNum w:abstractNumId="1">
    <w:nsid w:val="00704DCE"/>
    <w:multiLevelType w:val="singleLevel"/>
    <w:tmpl w:val="00704DCE"/>
    <w:lvl w:ilvl="0" w:tentative="0">
      <w:start w:val="1"/>
      <w:numFmt w:val="decimal"/>
      <w:suff w:val="nothing"/>
      <w:lvlText w:val="%1、"/>
      <w:lvlJc w:val="left"/>
    </w:lvl>
  </w:abstractNum>
  <w:abstractNum w:abstractNumId="2">
    <w:nsid w:val="11199DA6"/>
    <w:multiLevelType w:val="singleLevel"/>
    <w:tmpl w:val="11199DA6"/>
    <w:lvl w:ilvl="0" w:tentative="0">
      <w:start w:val="1"/>
      <w:numFmt w:val="decimal"/>
      <w:lvlText w:val="%1."/>
      <w:lvlJc w:val="left"/>
      <w:pPr>
        <w:tabs>
          <w:tab w:val="left" w:pos="312"/>
        </w:tabs>
      </w:pPr>
    </w:lvl>
  </w:abstractNum>
  <w:abstractNum w:abstractNumId="3">
    <w:nsid w:val="155218AF"/>
    <w:multiLevelType w:val="multilevel"/>
    <w:tmpl w:val="155218AF"/>
    <w:lvl w:ilvl="0" w:tentative="0">
      <w:start w:val="1"/>
      <w:numFmt w:val="decimal"/>
      <w:pStyle w:val="17"/>
      <w:lvlText w:val="表%1"/>
      <w:lvlJc w:val="left"/>
      <w:pPr>
        <w:ind w:left="620" w:hanging="420"/>
      </w:pPr>
      <w:rPr>
        <w:rFonts w:hint="default"/>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4">
    <w:nsid w:val="64F0FEBA"/>
    <w:multiLevelType w:val="singleLevel"/>
    <w:tmpl w:val="64F0FEBA"/>
    <w:lvl w:ilvl="0" w:tentative="0">
      <w:start w:val="2"/>
      <w:numFmt w:val="chineseCounting"/>
      <w:suff w:val="nothing"/>
      <w:lvlText w:val="%1、"/>
      <w:lvlJc w:val="left"/>
      <w:rPr>
        <w:rFonts w:hint="eastAsia"/>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6CEA0AA9"/>
    <w:rsid w:val="0084468C"/>
    <w:rsid w:val="0692013B"/>
    <w:rsid w:val="073E0F55"/>
    <w:rsid w:val="087A47D2"/>
    <w:rsid w:val="0B7658F5"/>
    <w:rsid w:val="0EF10500"/>
    <w:rsid w:val="10321E14"/>
    <w:rsid w:val="1A270400"/>
    <w:rsid w:val="1B3E0402"/>
    <w:rsid w:val="1CDC0658"/>
    <w:rsid w:val="1E3852CB"/>
    <w:rsid w:val="20CA0573"/>
    <w:rsid w:val="2180193C"/>
    <w:rsid w:val="23C32156"/>
    <w:rsid w:val="28A74487"/>
    <w:rsid w:val="31B74103"/>
    <w:rsid w:val="37177C4A"/>
    <w:rsid w:val="372D111F"/>
    <w:rsid w:val="3B125D37"/>
    <w:rsid w:val="467D3C16"/>
    <w:rsid w:val="4DC4307D"/>
    <w:rsid w:val="4F4A2965"/>
    <w:rsid w:val="4F731DDE"/>
    <w:rsid w:val="530C1F35"/>
    <w:rsid w:val="55FD5096"/>
    <w:rsid w:val="56867514"/>
    <w:rsid w:val="5A000FB0"/>
    <w:rsid w:val="683474FF"/>
    <w:rsid w:val="697544A1"/>
    <w:rsid w:val="6CEA0AA9"/>
    <w:rsid w:val="6D8B58A2"/>
    <w:rsid w:val="70086B3B"/>
    <w:rsid w:val="723C6B52"/>
    <w:rsid w:val="726A65A8"/>
    <w:rsid w:val="72F63C24"/>
    <w:rsid w:val="749241FB"/>
    <w:rsid w:val="75D207A6"/>
    <w:rsid w:val="779009FA"/>
    <w:rsid w:val="7BE402A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0"/>
    <w:pPr>
      <w:keepNext/>
      <w:spacing w:before="156" w:beforeLines="50"/>
      <w:jc w:val="center"/>
      <w:outlineLvl w:val="0"/>
    </w:pPr>
    <w:rPr>
      <w:rFonts w:ascii="黑体" w:hAnsi="黑体" w:eastAsia="黑体"/>
      <w:b/>
      <w:bCs/>
      <w:color w:val="000000"/>
      <w:spacing w:val="8"/>
      <w:kern w:val="10"/>
      <w:sz w:val="32"/>
      <w:szCs w:val="24"/>
      <w:lang w:val="en-US" w:eastAsia="zh-CN" w:bidi="ar-SA"/>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napToGrid w:val="0"/>
      <w:spacing w:line="360" w:lineRule="auto"/>
      <w:jc w:val="left"/>
      <w:outlineLvl w:val="3"/>
    </w:pPr>
    <w:rPr>
      <w:rFonts w:ascii="Arial" w:hAnsi="Arial"/>
      <w:bCs/>
      <w:sz w:val="24"/>
    </w:rPr>
  </w:style>
  <w:style w:type="character" w:default="1" w:styleId="10">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2">
    <w:name w:val="Body Text First Indent"/>
    <w:basedOn w:val="3"/>
    <w:qFormat/>
    <w:uiPriority w:val="0"/>
    <w:pPr>
      <w:adjustRightInd w:val="0"/>
      <w:spacing w:line="312" w:lineRule="auto"/>
      <w:ind w:firstLine="567"/>
      <w:textAlignment w:val="baseline"/>
    </w:pPr>
    <w:rPr>
      <w:rFonts w:cs="宋体"/>
      <w:kern w:val="0"/>
      <w:sz w:val="28"/>
    </w:rPr>
  </w:style>
  <w:style w:type="paragraph" w:styleId="3">
    <w:name w:val="Body Text"/>
    <w:basedOn w:val="1"/>
    <w:qFormat/>
    <w:uiPriority w:val="0"/>
    <w:rPr>
      <w:rFonts w:ascii="楷体_GB2312" w:hAnsi="宋体" w:eastAsia="楷体_GB2312"/>
      <w:b/>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2"/>
    <w:basedOn w:val="1"/>
    <w:qFormat/>
    <w:uiPriority w:val="0"/>
    <w:pPr>
      <w:spacing w:after="120" w:line="480" w:lineRule="auto"/>
    </w:p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List Paragraph"/>
    <w:basedOn w:val="1"/>
    <w:qFormat/>
    <w:uiPriority w:val="0"/>
    <w:pPr>
      <w:ind w:firstLine="420" w:firstLineChars="200"/>
    </w:pPr>
    <w:rPr>
      <w:rFonts w:ascii="Calibri" w:hAnsi="Calibri"/>
      <w:szCs w:val="22"/>
    </w:rPr>
  </w:style>
  <w:style w:type="paragraph" w:customStyle="1" w:styleId="14">
    <w:name w:val="报告书正文"/>
    <w:basedOn w:val="1"/>
    <w:qFormat/>
    <w:uiPriority w:val="0"/>
    <w:pPr>
      <w:adjustRightInd w:val="0"/>
      <w:snapToGrid w:val="0"/>
      <w:spacing w:line="360" w:lineRule="auto"/>
      <w:ind w:firstLine="425"/>
      <w:textAlignment w:val="baseline"/>
    </w:pPr>
    <w:rPr>
      <w:rFonts w:ascii="Arial" w:hAnsi="Arial"/>
      <w:kern w:val="0"/>
      <w:sz w:val="24"/>
    </w:rPr>
  </w:style>
  <w:style w:type="paragraph" w:customStyle="1" w:styleId="15">
    <w:name w:val="表"/>
    <w:qFormat/>
    <w:uiPriority w:val="0"/>
    <w:pPr>
      <w:spacing w:line="440" w:lineRule="exact"/>
      <w:ind w:firstLine="200" w:firstLineChars="200"/>
      <w:jc w:val="both"/>
    </w:pPr>
    <w:rPr>
      <w:rFonts w:ascii="Times New Roman" w:hAnsi="Times New Roman" w:eastAsia="宋体" w:cs="Times New Roman"/>
      <w:sz w:val="24"/>
      <w:lang w:val="en-US" w:eastAsia="zh-CN" w:bidi="ar-SA"/>
    </w:rPr>
  </w:style>
  <w:style w:type="paragraph" w:customStyle="1" w:styleId="16">
    <w:name w:val="表1"/>
    <w:basedOn w:val="1"/>
    <w:qFormat/>
    <w:uiPriority w:val="0"/>
    <w:pPr>
      <w:adjustRightInd w:val="0"/>
      <w:spacing w:before="120" w:after="120" w:line="320" w:lineRule="atLeast"/>
      <w:jc w:val="center"/>
      <w:textAlignment w:val="baseline"/>
    </w:pPr>
    <w:rPr>
      <w:rFonts w:eastAsia="黑体"/>
      <w:spacing w:val="10"/>
      <w:kern w:val="0"/>
      <w:szCs w:val="20"/>
    </w:rPr>
  </w:style>
  <w:style w:type="paragraph" w:customStyle="1" w:styleId="17">
    <w:name w:val="表头"/>
    <w:basedOn w:val="18"/>
    <w:qFormat/>
    <w:uiPriority w:val="0"/>
    <w:pPr>
      <w:numPr>
        <w:ilvl w:val="0"/>
        <w:numId w:val="1"/>
      </w:numPr>
    </w:pPr>
    <w:rPr>
      <w:rFonts w:eastAsia="黑体"/>
    </w:rPr>
  </w:style>
  <w:style w:type="paragraph" w:customStyle="1" w:styleId="18">
    <w:name w:val="样式4"/>
    <w:basedOn w:val="1"/>
    <w:qFormat/>
    <w:uiPriority w:val="0"/>
    <w:pPr>
      <w:adjustRightInd w:val="0"/>
      <w:snapToGrid w:val="0"/>
      <w:jc w:val="center"/>
    </w:pPr>
    <w:rPr>
      <w:sz w:val="24"/>
      <w:szCs w:val="20"/>
    </w:rPr>
  </w:style>
  <w:style w:type="paragraph" w:customStyle="1" w:styleId="19">
    <w:name w:val="Char Char Char Char Char Char Char"/>
    <w:basedOn w:val="1"/>
    <w:qFormat/>
    <w:uiPriority w:val="0"/>
    <w:pPr>
      <w:spacing w:line="360" w:lineRule="auto"/>
      <w:ind w:firstLine="200" w:firstLineChars="200"/>
    </w:pPr>
    <w:rPr>
      <w:rFonts w:ascii="宋体" w:hAnsi="宋体" w:cs="宋体"/>
      <w:sz w:val="24"/>
    </w:rPr>
  </w:style>
  <w:style w:type="paragraph" w:customStyle="1" w:styleId="20">
    <w:name w:val="WPSOffice手动目录 1"/>
    <w:qFormat/>
    <w:uiPriority w:val="0"/>
    <w:pPr>
      <w:ind w:leftChars="0"/>
    </w:pPr>
    <w:rPr>
      <w:rFonts w:ascii="Times New Roman" w:hAnsi="Times New Roman" w:eastAsia="宋体" w:cs="Times New Roman"/>
      <w:sz w:val="20"/>
      <w:szCs w:val="20"/>
      <w:lang w:val="en-US" w:eastAsia="zh-CN" w:bidi="ar-SA"/>
    </w:rPr>
  </w:style>
  <w:style w:type="paragraph" w:customStyle="1" w:styleId="21">
    <w:name w:val="正文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2">
    <w:name w:val="引用3"/>
    <w:basedOn w:val="1"/>
    <w:next w:val="1"/>
    <w:qFormat/>
    <w:uiPriority w:val="29"/>
    <w:rPr>
      <w:i/>
      <w:iCs/>
      <w:color w:val="000000"/>
    </w:rPr>
  </w:style>
  <w:style w:type="character" w:customStyle="1" w:styleId="23">
    <w:name w:val="font21"/>
    <w:basedOn w:val="10"/>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emf"/><Relationship Id="rId8" Type="http://schemas.openxmlformats.org/officeDocument/2006/relationships/oleObject" Target="embeddings/oleObject1.bin"/><Relationship Id="rId7" Type="http://schemas.openxmlformats.org/officeDocument/2006/relationships/theme" Target="theme/theme1.xml"/><Relationship Id="rId6" Type="http://schemas.openxmlformats.org/officeDocument/2006/relationships/footer" Target="footer4.xml"/><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45.jpeg"/><Relationship Id="rId52" Type="http://schemas.openxmlformats.org/officeDocument/2006/relationships/image" Target="media/image44.jpeg"/><Relationship Id="rId51" Type="http://schemas.openxmlformats.org/officeDocument/2006/relationships/image" Target="media/image43.jpeg"/><Relationship Id="rId50" Type="http://schemas.openxmlformats.org/officeDocument/2006/relationships/image" Target="media/image42.jpeg"/><Relationship Id="rId5" Type="http://schemas.openxmlformats.org/officeDocument/2006/relationships/footer" Target="footer3.xml"/><Relationship Id="rId49" Type="http://schemas.openxmlformats.org/officeDocument/2006/relationships/image" Target="media/image41.jpeg"/><Relationship Id="rId48" Type="http://schemas.openxmlformats.org/officeDocument/2006/relationships/image" Target="media/image40.jpeg"/><Relationship Id="rId47" Type="http://schemas.openxmlformats.org/officeDocument/2006/relationships/image" Target="media/image39.jpeg"/><Relationship Id="rId46" Type="http://schemas.openxmlformats.org/officeDocument/2006/relationships/image" Target="media/image38.jpeg"/><Relationship Id="rId45" Type="http://schemas.openxmlformats.org/officeDocument/2006/relationships/image" Target="media/image37.jpeg"/><Relationship Id="rId44" Type="http://schemas.openxmlformats.org/officeDocument/2006/relationships/image" Target="media/image36.jpeg"/><Relationship Id="rId43" Type="http://schemas.openxmlformats.org/officeDocument/2006/relationships/image" Target="media/image35.jpeg"/><Relationship Id="rId42" Type="http://schemas.openxmlformats.org/officeDocument/2006/relationships/image" Target="media/image34.jpeg"/><Relationship Id="rId41" Type="http://schemas.openxmlformats.org/officeDocument/2006/relationships/image" Target="media/image33.jpeg"/><Relationship Id="rId40" Type="http://schemas.openxmlformats.org/officeDocument/2006/relationships/image" Target="media/image32.jpeg"/><Relationship Id="rId4" Type="http://schemas.openxmlformats.org/officeDocument/2006/relationships/footer" Target="footer2.xml"/><Relationship Id="rId39" Type="http://schemas.openxmlformats.org/officeDocument/2006/relationships/image" Target="media/image31.jpeg"/><Relationship Id="rId38" Type="http://schemas.openxmlformats.org/officeDocument/2006/relationships/image" Target="media/image30.jpeg"/><Relationship Id="rId37" Type="http://schemas.openxmlformats.org/officeDocument/2006/relationships/image" Target="media/image29.jpeg"/><Relationship Id="rId36" Type="http://schemas.openxmlformats.org/officeDocument/2006/relationships/image" Target="media/image28.jpeg"/><Relationship Id="rId35" Type="http://schemas.openxmlformats.org/officeDocument/2006/relationships/image" Target="media/image27.jpeg"/><Relationship Id="rId34" Type="http://schemas.openxmlformats.org/officeDocument/2006/relationships/image" Target="media/image26.png"/><Relationship Id="rId33" Type="http://schemas.openxmlformats.org/officeDocument/2006/relationships/image" Target="media/image25.png"/><Relationship Id="rId32" Type="http://schemas.openxmlformats.org/officeDocument/2006/relationships/image" Target="media/image24.png"/><Relationship Id="rId31" Type="http://schemas.openxmlformats.org/officeDocument/2006/relationships/image" Target="media/image23.jpeg"/><Relationship Id="rId30" Type="http://schemas.openxmlformats.org/officeDocument/2006/relationships/image" Target="media/image22.jpeg"/><Relationship Id="rId3" Type="http://schemas.openxmlformats.org/officeDocument/2006/relationships/footer" Target="footer1.xml"/><Relationship Id="rId29" Type="http://schemas.openxmlformats.org/officeDocument/2006/relationships/image" Target="media/image21.jpeg"/><Relationship Id="rId28" Type="http://schemas.openxmlformats.org/officeDocument/2006/relationships/image" Target="media/image20.jpeg"/><Relationship Id="rId27" Type="http://schemas.openxmlformats.org/officeDocument/2006/relationships/image" Target="media/image19.jpeg"/><Relationship Id="rId26" Type="http://schemas.openxmlformats.org/officeDocument/2006/relationships/image" Target="media/image18.jpeg"/><Relationship Id="rId25" Type="http://schemas.openxmlformats.org/officeDocument/2006/relationships/image" Target="media/image17.jpeg"/><Relationship Id="rId24" Type="http://schemas.openxmlformats.org/officeDocument/2006/relationships/image" Target="media/image16.jpeg"/><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png"/><Relationship Id="rId16"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6.pn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4"/>
    <customShpInfo spid="_x0000_s2051"/>
    <customShpInfo spid="_x0000_s103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284</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2018-10-20T10:05:00Z</dcterms:created>
  <dc:creator>桃之夭夭</dc:creator>
  <cp:lastModifiedBy>桃之夭夭</cp:lastModifiedBy>
  <cp:lastPrinted>2019-01-05T03:48:48Z</cp:lastPrinted>
  <dcterms:modified xsi:type="dcterms:W3CDTF">2019-01-05T04:07:04Z</dcterms:modified>
  <dc:title>YS-2018-49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